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9F" w:rsidRPr="00047C61" w:rsidRDefault="00A52B9F" w:rsidP="00047C61">
      <w:pPr>
        <w:jc w:val="center"/>
        <w:rPr>
          <w:b/>
          <w:sz w:val="32"/>
          <w:szCs w:val="32"/>
        </w:rPr>
      </w:pPr>
      <w:r>
        <w:rPr>
          <w:b/>
          <w:sz w:val="32"/>
          <w:szCs w:val="32"/>
        </w:rPr>
        <w:t>Чому важливо, щоб димові та вентиляційні канали  були справні.</w:t>
      </w:r>
    </w:p>
    <w:p w:rsidR="00A52B9F" w:rsidRDefault="00A52B9F">
      <w:pPr>
        <w:rPr>
          <w:b/>
          <w:i/>
          <w:sz w:val="32"/>
          <w:szCs w:val="32"/>
        </w:rPr>
      </w:pPr>
      <w:r>
        <w:rPr>
          <w:b/>
          <w:i/>
          <w:sz w:val="32"/>
          <w:szCs w:val="32"/>
        </w:rPr>
        <w:t>Використовуючи газові прилади під час сильних поривів віру, надмірних опадів та зниження температури, потрібно постійно контролювати наявність тяги в димових та вентиляційних каналах. Різкі зміни погодних умов можуть призвести до порушення тяги під час роботи газових приладів погіршуючи відведення продуктів згорання у димохід, що може стати причиною отруєння чадним газом.</w:t>
      </w:r>
    </w:p>
    <w:p w:rsidR="00A52B9F" w:rsidRDefault="00A52B9F" w:rsidP="00FA75AF">
      <w:pPr>
        <w:spacing w:line="240" w:lineRule="auto"/>
        <w:rPr>
          <w:rFonts w:ascii="Times New Roman" w:hAnsi="Times New Roman"/>
          <w:sz w:val="28"/>
          <w:szCs w:val="28"/>
        </w:rPr>
      </w:pPr>
      <w:r w:rsidRPr="00B44409">
        <w:rPr>
          <w:rFonts w:ascii="Times New Roman" w:hAnsi="Times New Roman"/>
          <w:sz w:val="28"/>
          <w:szCs w:val="28"/>
        </w:rPr>
        <w:t>Правильна</w:t>
      </w:r>
      <w:r>
        <w:rPr>
          <w:rFonts w:ascii="Times New Roman" w:hAnsi="Times New Roman"/>
          <w:sz w:val="28"/>
          <w:szCs w:val="28"/>
        </w:rPr>
        <w:t xml:space="preserve"> робота димоходів та вентиляційних каналів (ДВК) є важливою складовою нашої безпеки, адже найбільша кількість отруєнь чадним газом виникає саме через порушення тяги.  Тому особливо пильними мають бути користувачі газових приладів із відведенням продуктів згорання в димоходи – котлів та водонагрівачів.</w:t>
      </w:r>
    </w:p>
    <w:p w:rsidR="00A52B9F" w:rsidRDefault="00A52B9F" w:rsidP="00FA75AF">
      <w:pPr>
        <w:spacing w:line="240" w:lineRule="auto"/>
        <w:rPr>
          <w:rFonts w:ascii="Times New Roman" w:hAnsi="Times New Roman"/>
          <w:sz w:val="28"/>
          <w:szCs w:val="28"/>
        </w:rPr>
      </w:pPr>
      <w:r>
        <w:rPr>
          <w:rFonts w:ascii="Times New Roman" w:hAnsi="Times New Roman"/>
          <w:sz w:val="28"/>
          <w:szCs w:val="28"/>
        </w:rPr>
        <w:t>Якщо димоходи та вентиляційні канали (ДВК) несправні, то шкідливі продукти горіння замість того, щоб виводитись назовні, будуть накопичуватись у приміщенні. Тож ДВК система постійно має бути справна. Для контролю справності її треба періодично обстежувати, а в разі потреби прочищати і ремонтувати.</w:t>
      </w:r>
    </w:p>
    <w:p w:rsidR="00A52B9F" w:rsidRDefault="00A52B9F">
      <w:pPr>
        <w:rPr>
          <w:rFonts w:ascii="Times New Roman" w:hAnsi="Times New Roman"/>
          <w:sz w:val="28"/>
          <w:szCs w:val="28"/>
        </w:rPr>
      </w:pPr>
      <w:r>
        <w:rPr>
          <w:rFonts w:ascii="Times New Roman" w:hAnsi="Times New Roman"/>
          <w:sz w:val="28"/>
          <w:szCs w:val="28"/>
        </w:rPr>
        <w:t>За це відповідають власники будинків. У житлових багатоповерхівках – балансоутримувачі ОСББ, у приватних – власники чи орендарі. Вони залучають кваліфікованих фахівців, які мають дозволи Держпраці на виконання таких робіт. Ці фахівці перевіряють та, за необхідності, прочищають систему ДВК.</w:t>
      </w:r>
    </w:p>
    <w:p w:rsidR="00A52B9F" w:rsidRDefault="00A52B9F">
      <w:pPr>
        <w:rPr>
          <w:rFonts w:ascii="Times New Roman" w:hAnsi="Times New Roman"/>
          <w:sz w:val="28"/>
          <w:szCs w:val="28"/>
        </w:rPr>
      </w:pPr>
      <w:r>
        <w:rPr>
          <w:rFonts w:ascii="Times New Roman" w:hAnsi="Times New Roman"/>
          <w:sz w:val="28"/>
          <w:szCs w:val="28"/>
        </w:rPr>
        <w:t xml:space="preserve">Результати перевірки ДВК оформляються актом. Один із його примірників надається газорозподільній компанії. Якщо такого акту немає, або він містить негативний висновок, газорозподільна компанія </w:t>
      </w:r>
      <w:r w:rsidRPr="008E17AE">
        <w:rPr>
          <w:rFonts w:ascii="Times New Roman" w:hAnsi="Times New Roman"/>
          <w:sz w:val="28"/>
          <w:szCs w:val="28"/>
          <w:u w:val="single"/>
        </w:rPr>
        <w:t>зобов’язана</w:t>
      </w:r>
      <w:r>
        <w:rPr>
          <w:rFonts w:ascii="Times New Roman" w:hAnsi="Times New Roman"/>
          <w:sz w:val="28"/>
          <w:szCs w:val="28"/>
        </w:rPr>
        <w:t xml:space="preserve"> припинити подачу газу споживачу.  Адже несправність ДВК є дуже небезпечною і може стати причиною аварійної ситуації та отруєння чадним газом.</w:t>
      </w:r>
    </w:p>
    <w:p w:rsidR="00A52B9F" w:rsidRDefault="00A52B9F">
      <w:pPr>
        <w:rPr>
          <w:rFonts w:ascii="Times New Roman" w:hAnsi="Times New Roman"/>
          <w:sz w:val="28"/>
          <w:szCs w:val="28"/>
        </w:rPr>
      </w:pPr>
      <w:r>
        <w:rPr>
          <w:rFonts w:ascii="Times New Roman" w:hAnsi="Times New Roman"/>
          <w:sz w:val="28"/>
          <w:szCs w:val="28"/>
        </w:rPr>
        <w:t>Окрім перевірки роботи та прочищення системи ДВК кожен споживач також повинен слідкувати, щоб у системі була постійна тяга. Цю процедуру можна виконувати самостійно за допомогою смужки паперу. Її потрібно прикласти до отвору димоходу. Якщо папір втягується, то тяга є, якщо смужка залишається нерухомою – тяги нема, відхиляється у приміщення – тяга зворотня.</w:t>
      </w:r>
    </w:p>
    <w:p w:rsidR="00A52B9F" w:rsidRDefault="00A52B9F">
      <w:pPr>
        <w:rPr>
          <w:rFonts w:ascii="Times New Roman" w:hAnsi="Times New Roman"/>
          <w:sz w:val="28"/>
          <w:szCs w:val="28"/>
        </w:rPr>
      </w:pPr>
      <w:r>
        <w:rPr>
          <w:rFonts w:ascii="Times New Roman" w:hAnsi="Times New Roman"/>
          <w:sz w:val="28"/>
          <w:szCs w:val="28"/>
        </w:rPr>
        <w:t xml:space="preserve">Якщо тяга відсутня або зворотня газові прилади треба вимкнути і негайно звернутися до спеціалістів. До усунення несправностей використовувати газові прилади заборонено. </w:t>
      </w:r>
    </w:p>
    <w:p w:rsidR="00A52B9F" w:rsidRDefault="00A52B9F">
      <w:pPr>
        <w:rPr>
          <w:rFonts w:ascii="Times New Roman" w:hAnsi="Times New Roman"/>
          <w:sz w:val="28"/>
          <w:szCs w:val="28"/>
        </w:rPr>
      </w:pPr>
      <w:r>
        <w:rPr>
          <w:rFonts w:ascii="Times New Roman" w:hAnsi="Times New Roman"/>
          <w:sz w:val="28"/>
          <w:szCs w:val="28"/>
        </w:rPr>
        <w:t>Щоб уникнути отруєння чадним газом власникам димохідних газових приладів потрібно  подбати про заходи особистої безпеки.  Перед використанням газових приладів слід завжди перевіряти наявність тяги та забезпечувати приплив свіжого повітря до приміщення , де працюють газові прилади (відкривати кватирку).  Окрім того , можна встановити спеціальний сигналізатор  із клапаном-відсікачем. Це прилад, що сповішає про загазованість у приміщенні, та окрім звукового сигнального сповіщення автоматично перекриває надходження газу.</w:t>
      </w:r>
    </w:p>
    <w:p w:rsidR="00A52B9F" w:rsidRDefault="00A52B9F">
      <w:pPr>
        <w:rPr>
          <w:rFonts w:ascii="Times New Roman" w:hAnsi="Times New Roman"/>
          <w:sz w:val="28"/>
          <w:szCs w:val="28"/>
        </w:rPr>
      </w:pPr>
      <w:r>
        <w:rPr>
          <w:rFonts w:ascii="Times New Roman" w:hAnsi="Times New Roman"/>
          <w:sz w:val="28"/>
          <w:szCs w:val="28"/>
        </w:rPr>
        <w:t>Також у приміщеннях, де встановлені газові прилади з відведенням продуктів згорання у димохід , категорично заборонено встановлювати електровитяжку. У разі одночасної роботи витяжки та димохідного газового приладу (котел, колонка) виникає загроза виникнення зворотної  тяги ,внаслідок чого, шкідливі продукти згорання накопичуються у приміщенні, що може призвести до смертельного отруєння.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A52B9F" w:rsidRPr="001A7ACC" w:rsidTr="001A7ACC">
        <w:tc>
          <w:tcPr>
            <w:tcW w:w="9855" w:type="dxa"/>
            <w:gridSpan w:val="2"/>
          </w:tcPr>
          <w:p w:rsidR="00A52B9F" w:rsidRPr="001A7ACC" w:rsidRDefault="00A52B9F" w:rsidP="001A7ACC">
            <w:pPr>
              <w:spacing w:after="0" w:line="240" w:lineRule="auto"/>
              <w:jc w:val="center"/>
              <w:rPr>
                <w:rFonts w:ascii="Times New Roman" w:hAnsi="Times New Roman"/>
                <w:b/>
                <w:sz w:val="28"/>
                <w:szCs w:val="28"/>
              </w:rPr>
            </w:pPr>
            <w:r w:rsidRPr="001A7ACC">
              <w:rPr>
                <w:rFonts w:ascii="Times New Roman" w:hAnsi="Times New Roman"/>
                <w:b/>
                <w:sz w:val="28"/>
                <w:szCs w:val="28"/>
              </w:rPr>
              <w:t>Нормативна періодичність обстеження димових та вентиляційних каналів</w:t>
            </w:r>
          </w:p>
        </w:tc>
      </w:tr>
      <w:tr w:rsidR="00A52B9F" w:rsidRPr="001A7ACC" w:rsidTr="001A7ACC">
        <w:tc>
          <w:tcPr>
            <w:tcW w:w="4927" w:type="dxa"/>
          </w:tcPr>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Димоходи опалювальних печей, ємнісних водонагрівачів, опалювальних котлів</w:t>
            </w:r>
          </w:p>
        </w:tc>
        <w:tc>
          <w:tcPr>
            <w:tcW w:w="4928" w:type="dxa"/>
          </w:tcPr>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1 раз на рік:</w:t>
            </w:r>
          </w:p>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Перед початком опалювального сезону (якщо прилади працюють сезонно);</w:t>
            </w:r>
          </w:p>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2 рази на рік:</w:t>
            </w:r>
          </w:p>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Навесні і восени (якщо прилади працюють цілий рік).</w:t>
            </w:r>
          </w:p>
        </w:tc>
      </w:tr>
      <w:tr w:rsidR="00A52B9F" w:rsidRPr="001A7ACC" w:rsidTr="001A7ACC">
        <w:tc>
          <w:tcPr>
            <w:tcW w:w="4927" w:type="dxa"/>
          </w:tcPr>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Димоходи опалювально-варильних печей</w:t>
            </w:r>
          </w:p>
        </w:tc>
        <w:tc>
          <w:tcPr>
            <w:tcW w:w="4928" w:type="dxa"/>
          </w:tcPr>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2 рази на рік:</w:t>
            </w:r>
          </w:p>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перед початком і після закінчення опалювального сезону.</w:t>
            </w:r>
          </w:p>
        </w:tc>
      </w:tr>
      <w:tr w:rsidR="00A52B9F" w:rsidRPr="001A7ACC" w:rsidTr="001A7ACC">
        <w:tc>
          <w:tcPr>
            <w:tcW w:w="9855" w:type="dxa"/>
            <w:gridSpan w:val="2"/>
          </w:tcPr>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 xml:space="preserve">Димоходи від газових проточних і ємнісних газових водонагрівачів </w:t>
            </w:r>
          </w:p>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для гарячого водопостачання</w:t>
            </w:r>
          </w:p>
        </w:tc>
      </w:tr>
      <w:tr w:rsidR="00A52B9F" w:rsidRPr="001A7ACC" w:rsidTr="001A7ACC">
        <w:tc>
          <w:tcPr>
            <w:tcW w:w="4927" w:type="dxa"/>
          </w:tcPr>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Цегляні, цегляні і азбоцементні, цегляні і керамічні.</w:t>
            </w:r>
          </w:p>
        </w:tc>
        <w:tc>
          <w:tcPr>
            <w:tcW w:w="4928" w:type="dxa"/>
          </w:tcPr>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1 раз на  6 місяців</w:t>
            </w:r>
          </w:p>
        </w:tc>
      </w:tr>
      <w:tr w:rsidR="00A52B9F" w:rsidRPr="001A7ACC" w:rsidTr="001A7ACC">
        <w:tc>
          <w:tcPr>
            <w:tcW w:w="4927" w:type="dxa"/>
          </w:tcPr>
          <w:p w:rsidR="00A52B9F" w:rsidRPr="001A7ACC" w:rsidRDefault="00A52B9F" w:rsidP="001A7ACC">
            <w:pPr>
              <w:spacing w:after="0" w:line="240" w:lineRule="auto"/>
              <w:rPr>
                <w:rFonts w:ascii="Times New Roman" w:hAnsi="Times New Roman"/>
                <w:sz w:val="28"/>
                <w:szCs w:val="28"/>
              </w:rPr>
            </w:pPr>
            <w:r w:rsidRPr="001A7ACC">
              <w:rPr>
                <w:rFonts w:ascii="Times New Roman" w:hAnsi="Times New Roman"/>
                <w:sz w:val="28"/>
                <w:szCs w:val="28"/>
              </w:rPr>
              <w:t xml:space="preserve">Металеві (з товщиною стінки не менше </w:t>
            </w:r>
            <w:smartTag w:uri="urn:schemas-microsoft-com:office:smarttags" w:element="metricconverter">
              <w:smartTagPr>
                <w:attr w:name="ProductID" w:val="3 мм"/>
              </w:smartTagPr>
              <w:r w:rsidRPr="001A7ACC">
                <w:rPr>
                  <w:rFonts w:ascii="Times New Roman" w:hAnsi="Times New Roman"/>
                  <w:sz w:val="28"/>
                  <w:szCs w:val="28"/>
                </w:rPr>
                <w:t>3 мм</w:t>
              </w:r>
            </w:smartTag>
            <w:r w:rsidRPr="001A7ACC">
              <w:rPr>
                <w:rFonts w:ascii="Times New Roman" w:hAnsi="Times New Roman"/>
                <w:sz w:val="28"/>
                <w:szCs w:val="28"/>
              </w:rPr>
              <w:t>, азбестоцементні, кера-мічні та із жаростійкого бетону.</w:t>
            </w:r>
          </w:p>
        </w:tc>
        <w:tc>
          <w:tcPr>
            <w:tcW w:w="4928" w:type="dxa"/>
          </w:tcPr>
          <w:p w:rsidR="00A52B9F" w:rsidRPr="001A7ACC" w:rsidRDefault="00A52B9F" w:rsidP="001A7ACC">
            <w:pPr>
              <w:spacing w:after="0" w:line="240" w:lineRule="auto"/>
              <w:jc w:val="center"/>
              <w:rPr>
                <w:rFonts w:ascii="Times New Roman" w:hAnsi="Times New Roman"/>
                <w:sz w:val="28"/>
                <w:szCs w:val="28"/>
              </w:rPr>
            </w:pPr>
            <w:r w:rsidRPr="001A7ACC">
              <w:rPr>
                <w:rFonts w:ascii="Times New Roman" w:hAnsi="Times New Roman"/>
                <w:sz w:val="28"/>
                <w:szCs w:val="28"/>
              </w:rPr>
              <w:t>1 раз на рік.</w:t>
            </w:r>
            <w:bookmarkStart w:id="0" w:name="_GoBack"/>
            <w:bookmarkEnd w:id="0"/>
          </w:p>
        </w:tc>
      </w:tr>
    </w:tbl>
    <w:p w:rsidR="00A52B9F" w:rsidRDefault="00A52B9F" w:rsidP="00A7736C">
      <w:pPr>
        <w:jc w:val="center"/>
        <w:rPr>
          <w:rFonts w:ascii="Times New Roman" w:hAnsi="Times New Roman"/>
          <w:sz w:val="28"/>
          <w:szCs w:val="28"/>
        </w:rPr>
      </w:pPr>
    </w:p>
    <w:p w:rsidR="00A52B9F" w:rsidRPr="008E17AE" w:rsidRDefault="00A52B9F">
      <w:pPr>
        <w:rPr>
          <w:rFonts w:ascii="Times New Roman" w:hAnsi="Times New Roman"/>
          <w:sz w:val="28"/>
          <w:szCs w:val="28"/>
        </w:rPr>
      </w:pPr>
    </w:p>
    <w:p w:rsidR="00A52B9F" w:rsidRPr="00B44409" w:rsidRDefault="00A52B9F" w:rsidP="00FA75AF">
      <w:pPr>
        <w:spacing w:line="240" w:lineRule="auto"/>
        <w:rPr>
          <w:rFonts w:ascii="Times New Roman" w:hAnsi="Times New Roman"/>
          <w:sz w:val="28"/>
          <w:szCs w:val="28"/>
        </w:rPr>
      </w:pPr>
    </w:p>
    <w:sectPr w:rsidR="00A52B9F" w:rsidRPr="00B44409" w:rsidSect="00013D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B09A5"/>
    <w:multiLevelType w:val="hybridMultilevel"/>
    <w:tmpl w:val="CF72D836"/>
    <w:lvl w:ilvl="0" w:tplc="687E12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C61"/>
    <w:rsid w:val="00013D2E"/>
    <w:rsid w:val="00047C61"/>
    <w:rsid w:val="001A7ACC"/>
    <w:rsid w:val="002A109B"/>
    <w:rsid w:val="002B740E"/>
    <w:rsid w:val="002F56D1"/>
    <w:rsid w:val="0047506A"/>
    <w:rsid w:val="004E5866"/>
    <w:rsid w:val="008E17AE"/>
    <w:rsid w:val="009603A8"/>
    <w:rsid w:val="009664BC"/>
    <w:rsid w:val="00A52B9F"/>
    <w:rsid w:val="00A7736C"/>
    <w:rsid w:val="00B0718C"/>
    <w:rsid w:val="00B2006D"/>
    <w:rsid w:val="00B44409"/>
    <w:rsid w:val="00B52D6C"/>
    <w:rsid w:val="00B96F2D"/>
    <w:rsid w:val="00BC7458"/>
    <w:rsid w:val="00DD2F1F"/>
    <w:rsid w:val="00EA0755"/>
    <w:rsid w:val="00FA7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2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7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2</Pages>
  <Words>570</Words>
  <Characters>3249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Віталій Вікторович</dc:creator>
  <cp:keywords/>
  <dc:description/>
  <cp:lastModifiedBy>Admin</cp:lastModifiedBy>
  <cp:revision>7</cp:revision>
  <dcterms:created xsi:type="dcterms:W3CDTF">2018-11-15T08:48:00Z</dcterms:created>
  <dcterms:modified xsi:type="dcterms:W3CDTF">2018-11-16T08:07:00Z</dcterms:modified>
</cp:coreProperties>
</file>