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D2" w:rsidRDefault="00836CD2" w:rsidP="00836CD2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AE3FC6" w:rsidRPr="00AE3FC6" w:rsidRDefault="00AE3FC6" w:rsidP="00836CD2">
      <w:pPr>
        <w:ind w:left="6379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Наказ </w:t>
      </w:r>
      <w:r>
        <w:rPr>
          <w:sz w:val="24"/>
        </w:rPr>
        <w:t>Головного територіального управління юстиції у Вінницькій області від</w:t>
      </w:r>
      <w:r w:rsidR="003342A5">
        <w:rPr>
          <w:sz w:val="24"/>
          <w:lang w:val="ru-RU"/>
        </w:rPr>
        <w:t xml:space="preserve"> 27.07.</w:t>
      </w:r>
      <w:r>
        <w:rPr>
          <w:sz w:val="24"/>
          <w:lang w:val="ru-RU"/>
        </w:rPr>
        <w:t>2017</w:t>
      </w:r>
      <w:r w:rsidR="00EB59D0">
        <w:rPr>
          <w:sz w:val="24"/>
          <w:lang w:val="ru-RU"/>
        </w:rPr>
        <w:t xml:space="preserve"> </w:t>
      </w:r>
      <w:r>
        <w:rPr>
          <w:sz w:val="24"/>
          <w:lang w:val="ru-RU"/>
        </w:rPr>
        <w:t>№</w:t>
      </w:r>
      <w:r w:rsidR="00DB4AD4">
        <w:rPr>
          <w:sz w:val="24"/>
          <w:lang w:val="ru-RU"/>
        </w:rPr>
        <w:t xml:space="preserve"> 156/7</w:t>
      </w:r>
      <w:bookmarkStart w:id="0" w:name="_GoBack"/>
      <w:bookmarkEnd w:id="0"/>
    </w:p>
    <w:p w:rsidR="00836CD2" w:rsidRDefault="00836CD2" w:rsidP="00836CD2">
      <w:pPr>
        <w:ind w:left="6379"/>
        <w:jc w:val="left"/>
        <w:rPr>
          <w:sz w:val="24"/>
          <w:szCs w:val="24"/>
          <w:lang w:eastAsia="uk-UA"/>
        </w:rPr>
      </w:pPr>
    </w:p>
    <w:p w:rsidR="00AE3FC6" w:rsidRDefault="00AE3FC6" w:rsidP="00A06F4E">
      <w:pPr>
        <w:jc w:val="left"/>
        <w:rPr>
          <w:b/>
          <w:sz w:val="24"/>
          <w:szCs w:val="24"/>
          <w:lang w:eastAsia="uk-UA"/>
        </w:rPr>
      </w:pPr>
      <w:r w:rsidRPr="00AE3FC6">
        <w:rPr>
          <w:sz w:val="24"/>
          <w:szCs w:val="24"/>
          <w:lang w:val="ru-RU" w:eastAsia="uk-UA"/>
        </w:rPr>
        <w:t xml:space="preserve">                                                                                          </w:t>
      </w:r>
    </w:p>
    <w:p w:rsidR="00AC3886" w:rsidRPr="00D76C29" w:rsidRDefault="00AC3886" w:rsidP="00AC3886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 ІНФОРМАЦІЙНА КАРТКА </w:t>
      </w:r>
    </w:p>
    <w:p w:rsidR="0033489E" w:rsidRDefault="00AC3886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D76C29">
        <w:rPr>
          <w:b/>
          <w:sz w:val="24"/>
          <w:szCs w:val="24"/>
          <w:lang w:eastAsia="uk-UA"/>
        </w:rPr>
        <w:t xml:space="preserve">державної реєстрації </w:t>
      </w:r>
      <w:r w:rsidR="009A037C">
        <w:rPr>
          <w:b/>
          <w:sz w:val="24"/>
          <w:szCs w:val="24"/>
          <w:lang w:eastAsia="uk-UA"/>
        </w:rPr>
        <w:t>статуту</w:t>
      </w:r>
      <w:r w:rsidR="007646EF">
        <w:rPr>
          <w:b/>
          <w:sz w:val="24"/>
          <w:szCs w:val="24"/>
          <w:lang w:eastAsia="uk-UA"/>
        </w:rPr>
        <w:t xml:space="preserve"> терито</w:t>
      </w:r>
      <w:r w:rsidR="009A037C">
        <w:rPr>
          <w:b/>
          <w:sz w:val="24"/>
          <w:szCs w:val="24"/>
          <w:lang w:eastAsia="uk-UA"/>
        </w:rPr>
        <w:t>ріальної</w:t>
      </w:r>
      <w:r w:rsidR="00396314">
        <w:rPr>
          <w:b/>
          <w:sz w:val="24"/>
          <w:szCs w:val="24"/>
          <w:lang w:eastAsia="uk-UA"/>
        </w:rPr>
        <w:t xml:space="preserve"> громад</w:t>
      </w:r>
      <w:r w:rsidR="009A037C">
        <w:rPr>
          <w:b/>
          <w:sz w:val="24"/>
          <w:szCs w:val="24"/>
          <w:lang w:eastAsia="uk-UA"/>
        </w:rPr>
        <w:t>и</w:t>
      </w:r>
      <w:r w:rsidR="00396314">
        <w:rPr>
          <w:b/>
          <w:sz w:val="24"/>
          <w:szCs w:val="24"/>
          <w:lang w:eastAsia="uk-UA"/>
        </w:rPr>
        <w:t xml:space="preserve"> </w:t>
      </w:r>
    </w:p>
    <w:p w:rsidR="000E5427" w:rsidRDefault="000E5427" w:rsidP="00AE3FC6">
      <w:pPr>
        <w:ind w:firstLine="709"/>
        <w:rPr>
          <w:sz w:val="24"/>
        </w:rPr>
      </w:pPr>
    </w:p>
    <w:p w:rsidR="00AE3FC6" w:rsidRPr="00D62609" w:rsidRDefault="00AE3FC6" w:rsidP="00AE3FC6">
      <w:pPr>
        <w:ind w:firstLine="709"/>
        <w:rPr>
          <w:sz w:val="24"/>
        </w:rPr>
      </w:pPr>
      <w:r>
        <w:rPr>
          <w:sz w:val="24"/>
        </w:rPr>
        <w:t>Головне територіальне управління юстиції у Вінницькій області / Центри надання адміністративних послуг Вінниц</w:t>
      </w:r>
      <w:r w:rsidR="00555221">
        <w:rPr>
          <w:sz w:val="24"/>
        </w:rPr>
        <w:t>ької області</w:t>
      </w:r>
    </w:p>
    <w:p w:rsidR="00AE3FC6" w:rsidRDefault="00AE3FC6" w:rsidP="00AE3FC6">
      <w:pPr>
        <w:jc w:val="center"/>
        <w:rPr>
          <w:sz w:val="20"/>
          <w:szCs w:val="20"/>
          <w:lang w:eastAsia="uk-UA"/>
        </w:rPr>
      </w:pPr>
    </w:p>
    <w:p w:rsidR="00AE3FC6" w:rsidRPr="00C20784" w:rsidRDefault="00AE3FC6" w:rsidP="00AE3FC6">
      <w:pPr>
        <w:jc w:val="center"/>
        <w:rPr>
          <w:sz w:val="20"/>
          <w:szCs w:val="20"/>
          <w:lang w:eastAsia="uk-UA"/>
        </w:rPr>
      </w:pPr>
      <w:r w:rsidRPr="00C20784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та/або центру надання адміністративних послуг)</w:t>
      </w:r>
    </w:p>
    <w:p w:rsidR="00AE3FC6" w:rsidRPr="00C20784" w:rsidRDefault="00AE3FC6" w:rsidP="00AE3FC6">
      <w:pPr>
        <w:rPr>
          <w:sz w:val="20"/>
          <w:szCs w:val="20"/>
          <w:lang w:eastAsia="uk-UA"/>
        </w:rPr>
      </w:pPr>
    </w:p>
    <w:p w:rsidR="0033489E" w:rsidRPr="00D76C29" w:rsidRDefault="0033489E" w:rsidP="0033489E">
      <w:pPr>
        <w:jc w:val="center"/>
        <w:rPr>
          <w:sz w:val="20"/>
          <w:szCs w:val="20"/>
          <w:lang w:eastAsia="uk-UA"/>
        </w:rPr>
      </w:pPr>
      <w:bookmarkStart w:id="2" w:name="n13"/>
      <w:bookmarkEnd w:id="2"/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200"/>
        <w:gridCol w:w="69"/>
        <w:gridCol w:w="7004"/>
      </w:tblGrid>
      <w:tr w:rsidR="00D76C29" w:rsidRPr="00D76C29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70B" w:rsidRPr="00D76C29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489E" w:rsidRPr="00D76C29" w:rsidRDefault="00151C7D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</w:t>
            </w:r>
            <w:r w:rsidR="00AA170B" w:rsidRPr="00D76C29">
              <w:rPr>
                <w:b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FC6" w:rsidRPr="00AE3FC6" w:rsidRDefault="00AE3FC6" w:rsidP="00AE3FC6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 xml:space="preserve">Головне територіальне управління юстиції у Вінницькій області: м. Вінниця, вул. Хмельницьке шосе, 7, </w:t>
            </w:r>
          </w:p>
          <w:p w:rsidR="00AE3FC6" w:rsidRPr="00AE3FC6" w:rsidRDefault="00AE3FC6" w:rsidP="00AE3FC6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>Центри надання адміністративних послуг Вінницької області: місцезнаходження відповідного центру,</w:t>
            </w:r>
          </w:p>
          <w:p w:rsidR="00605DB1" w:rsidRPr="00D76C29" w:rsidRDefault="00605DB1" w:rsidP="00AE3FC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FC6" w:rsidRPr="00AE3FC6" w:rsidRDefault="00AE3FC6" w:rsidP="00AE3FC6">
            <w:pPr>
              <w:ind w:left="33"/>
              <w:rPr>
                <w:sz w:val="24"/>
              </w:rPr>
            </w:pPr>
            <w:r w:rsidRPr="00AE3FC6">
              <w:rPr>
                <w:sz w:val="24"/>
              </w:rPr>
              <w:t xml:space="preserve">Головне територіальне управління юстиції у Вінницькій області:  </w:t>
            </w:r>
          </w:p>
          <w:p w:rsidR="00AE3FC6" w:rsidRPr="00AE3FC6" w:rsidRDefault="00AE3FC6" w:rsidP="00AE3FC6">
            <w:pPr>
              <w:ind w:left="33"/>
              <w:rPr>
                <w:sz w:val="24"/>
              </w:rPr>
            </w:pPr>
            <w:r w:rsidRPr="00AE3FC6">
              <w:rPr>
                <w:sz w:val="24"/>
              </w:rPr>
              <w:t>З понеділка по четвер з 09.00 до 18.00,</w:t>
            </w:r>
          </w:p>
          <w:p w:rsidR="00AE3FC6" w:rsidRPr="00AE3FC6" w:rsidRDefault="00AE3FC6" w:rsidP="00AE3FC6">
            <w:pPr>
              <w:ind w:left="33"/>
              <w:rPr>
                <w:sz w:val="24"/>
              </w:rPr>
            </w:pPr>
            <w:r w:rsidRPr="00AE3FC6">
              <w:rPr>
                <w:sz w:val="24"/>
              </w:rPr>
              <w:t>п’ятниця з 09.00 до 16.45</w:t>
            </w:r>
          </w:p>
          <w:p w:rsidR="00AE3FC6" w:rsidRPr="00AE3FC6" w:rsidRDefault="00AE3FC6" w:rsidP="00AE3FC6">
            <w:pPr>
              <w:rPr>
                <w:sz w:val="24"/>
              </w:rPr>
            </w:pPr>
            <w:r w:rsidRPr="00AE3FC6">
              <w:rPr>
                <w:sz w:val="24"/>
              </w:rPr>
              <w:t xml:space="preserve"> обідня перерва з 13.00 до 13.45</w:t>
            </w:r>
          </w:p>
          <w:p w:rsidR="00AE3FC6" w:rsidRPr="00AE3FC6" w:rsidRDefault="00AE3FC6" w:rsidP="00AE3FC6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>Центри надання адміністративних послуг Вінницької області: згідно режиму роботи відповідного центру</w:t>
            </w:r>
          </w:p>
          <w:p w:rsidR="00605DB1" w:rsidRPr="00D76C29" w:rsidRDefault="00605DB1" w:rsidP="00AE3FC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FC6" w:rsidRPr="00AE3FC6" w:rsidRDefault="00AE3FC6" w:rsidP="00AE3FC6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>Головне територіальне управління юстиції у Вінницькій області: телефон/факс (довідки):0432-66-11-74, 0432-66-11-76</w:t>
            </w:r>
          </w:p>
          <w:p w:rsidR="00AE3FC6" w:rsidRPr="00AE3FC6" w:rsidRDefault="00AE3FC6" w:rsidP="00AE3FC6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 xml:space="preserve">Адреса електронної пошти: </w:t>
            </w:r>
            <w:hyperlink r:id="rId6">
              <w:r w:rsidRPr="00AE3FC6">
                <w:rPr>
                  <w:rFonts w:ascii="Arial" w:eastAsia="Arial" w:hAnsi="Arial" w:cs="Arial"/>
                  <w:color w:val="F02624"/>
                  <w:sz w:val="18"/>
                  <w:u w:val="single"/>
                  <w:shd w:val="clear" w:color="auto" w:fill="FFFFFF"/>
                </w:rPr>
                <w:t>info@vn.minjust.gov.ua</w:t>
              </w:r>
            </w:hyperlink>
          </w:p>
          <w:p w:rsidR="00AE3FC6" w:rsidRPr="00AE3FC6" w:rsidRDefault="00AE3FC6" w:rsidP="00AE3FC6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 xml:space="preserve">веб-сайт: </w:t>
            </w:r>
            <w:hyperlink r:id="rId7">
              <w:r w:rsidRPr="00AE3FC6">
                <w:rPr>
                  <w:color w:val="0000FF"/>
                  <w:sz w:val="24"/>
                  <w:u w:val="single"/>
                </w:rPr>
                <w:t>http://vinjust.gov.ua/</w:t>
              </w:r>
            </w:hyperlink>
          </w:p>
          <w:p w:rsidR="00AE3FC6" w:rsidRPr="00AE3FC6" w:rsidRDefault="00AE3FC6" w:rsidP="00AE3FC6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>Центри надання адміністративних послуг Вінницької області: телефон/факс (довідки), адреса електронної пошти та веб-сайт відповідного центру</w:t>
            </w:r>
          </w:p>
          <w:p w:rsidR="00605DB1" w:rsidRPr="00D76C29" w:rsidRDefault="00605DB1" w:rsidP="00AE3FC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89E" w:rsidRPr="00D76C29" w:rsidRDefault="0033489E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9A037C" w:rsidRDefault="00AC3886" w:rsidP="009A037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</w:t>
            </w:r>
            <w:r w:rsidR="007646EF">
              <w:rPr>
                <w:sz w:val="24"/>
                <w:szCs w:val="24"/>
              </w:rPr>
              <w:t>кон України «Про місцеве самоврядування</w:t>
            </w:r>
            <w:r w:rsidR="00D86FA0">
              <w:rPr>
                <w:sz w:val="24"/>
                <w:szCs w:val="24"/>
              </w:rPr>
              <w:t>»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851E2" w:rsidP="009C4221">
            <w:pPr>
              <w:ind w:firstLine="208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Постанова К</w:t>
            </w:r>
            <w:r w:rsidR="007646EF"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76C29">
              <w:rPr>
                <w:sz w:val="24"/>
                <w:szCs w:val="24"/>
                <w:lang w:eastAsia="uk-UA"/>
              </w:rPr>
              <w:t xml:space="preserve"> «Про </w:t>
            </w:r>
            <w:r w:rsidR="007646EF"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76C2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76C2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AC3886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>Звернення уповноваженого</w:t>
            </w:r>
            <w:r w:rsidR="00AF7913">
              <w:rPr>
                <w:sz w:val="24"/>
                <w:szCs w:val="24"/>
              </w:rPr>
              <w:t xml:space="preserve"> представника </w:t>
            </w:r>
            <w:r w:rsidR="007F7D98" w:rsidRPr="00D76C29">
              <w:rPr>
                <w:sz w:val="24"/>
                <w:szCs w:val="24"/>
              </w:rPr>
              <w:t>(далі – заявник)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Default="0052633B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>
              <w:rPr>
                <w:sz w:val="24"/>
                <w:szCs w:val="24"/>
                <w:lang w:eastAsia="uk-UA"/>
              </w:rPr>
              <w:t>З</w:t>
            </w:r>
            <w:r w:rsidR="00396314">
              <w:rPr>
                <w:sz w:val="24"/>
                <w:szCs w:val="24"/>
                <w:lang w:eastAsia="uk-UA"/>
              </w:rPr>
              <w:t>аява про державну реєстраці</w:t>
            </w:r>
            <w:r w:rsidR="009C4221">
              <w:rPr>
                <w:sz w:val="24"/>
                <w:szCs w:val="24"/>
                <w:lang w:eastAsia="uk-UA"/>
              </w:rPr>
              <w:t>ю статуту територіальної громад</w:t>
            </w:r>
            <w:r w:rsidR="004E1AA1">
              <w:rPr>
                <w:sz w:val="24"/>
                <w:szCs w:val="24"/>
                <w:lang w:eastAsia="uk-UA"/>
              </w:rPr>
              <w:t>и</w:t>
            </w:r>
            <w:r w:rsidR="00AC3886" w:rsidRPr="00D76C29">
              <w:rPr>
                <w:sz w:val="24"/>
                <w:szCs w:val="24"/>
                <w:lang w:eastAsia="uk-UA"/>
              </w:rPr>
              <w:t>;</w:t>
            </w:r>
          </w:p>
          <w:p w:rsidR="00396314" w:rsidRPr="00396314" w:rsidRDefault="00396314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396314">
              <w:rPr>
                <w:color w:val="000000"/>
                <w:sz w:val="24"/>
                <w:szCs w:val="24"/>
              </w:rPr>
              <w:t>ст</w:t>
            </w:r>
            <w:r w:rsidR="00DB606D">
              <w:rPr>
                <w:color w:val="000000"/>
                <w:sz w:val="24"/>
                <w:szCs w:val="24"/>
              </w:rPr>
              <w:t>атут територіальної громади</w:t>
            </w:r>
            <w:r w:rsidRPr="00396314">
              <w:rPr>
                <w:color w:val="000000"/>
                <w:sz w:val="24"/>
                <w:szCs w:val="24"/>
              </w:rPr>
              <w:t xml:space="preserve"> у двох примірниках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96314" w:rsidRPr="00AF7913" w:rsidRDefault="00AF7913" w:rsidP="009C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рішення представницького 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t xml:space="preserve">органу місцевого самоврядування 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br/>
            </w:r>
            <w:r w:rsidR="00396314">
              <w:rPr>
                <w:color w:val="000000"/>
                <w:sz w:val="24"/>
                <w:szCs w:val="24"/>
                <w:lang w:eastAsia="uk-UA"/>
              </w:rPr>
              <w:t>про затвердження статуту;</w:t>
            </w:r>
          </w:p>
          <w:p w:rsidR="00AC3886" w:rsidRPr="00AF7913" w:rsidRDefault="00AF7913" w:rsidP="009C4221">
            <w:pPr>
              <w:ind w:firstLine="139"/>
              <w:rPr>
                <w:sz w:val="24"/>
                <w:szCs w:val="24"/>
                <w:lang w:val="ru-RU" w:eastAsia="uk-UA"/>
              </w:rPr>
            </w:pPr>
            <w:bookmarkStart w:id="4" w:name="o19"/>
            <w:bookmarkEnd w:id="4"/>
            <w:r>
              <w:rPr>
                <w:color w:val="000000"/>
                <w:sz w:val="24"/>
                <w:szCs w:val="24"/>
                <w:lang w:eastAsia="uk-UA"/>
              </w:rPr>
              <w:t xml:space="preserve">протокол пленарного засідання представницького 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t xml:space="preserve">органу 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br/>
              <w:t>місцевого самоврядування, на якому п</w:t>
            </w:r>
            <w:r w:rsidR="00396314">
              <w:rPr>
                <w:color w:val="000000"/>
                <w:sz w:val="24"/>
                <w:szCs w:val="24"/>
                <w:lang w:eastAsia="uk-UA"/>
              </w:rPr>
              <w:t xml:space="preserve">рийнято рішення про </w:t>
            </w:r>
            <w:r w:rsidR="00396314">
              <w:rPr>
                <w:color w:val="000000"/>
                <w:sz w:val="24"/>
                <w:szCs w:val="24"/>
                <w:lang w:eastAsia="uk-UA"/>
              </w:rPr>
              <w:lastRenderedPageBreak/>
              <w:t xml:space="preserve">реєстрацію </w:t>
            </w:r>
            <w:r>
              <w:rPr>
                <w:color w:val="000000"/>
                <w:sz w:val="24"/>
                <w:szCs w:val="24"/>
                <w:lang w:eastAsia="uk-UA"/>
              </w:rPr>
              <w:t>статуту.</w:t>
            </w:r>
          </w:p>
          <w:p w:rsidR="00AC3886" w:rsidRPr="00D76C29" w:rsidRDefault="00AC3886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AC3886" w:rsidRPr="00D76C29" w:rsidRDefault="00AC3886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7D98" w:rsidRPr="00D76C29">
              <w:rPr>
                <w:sz w:val="24"/>
                <w:szCs w:val="24"/>
                <w:lang w:eastAsia="uk-UA"/>
              </w:rPr>
              <w:t>,</w:t>
            </w:r>
            <w:r w:rsidRPr="00D76C29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7D98" w:rsidRPr="00D76C29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7E6B87" w:rsidP="009C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3886" w:rsidRPr="00D76C29">
              <w:rPr>
                <w:sz w:val="24"/>
                <w:szCs w:val="24"/>
              </w:rPr>
              <w:t>окументи подаються заявником особ</w:t>
            </w:r>
            <w:r w:rsidR="008D13F5">
              <w:rPr>
                <w:sz w:val="24"/>
                <w:szCs w:val="24"/>
              </w:rPr>
              <w:t>исто або поштовим відправленням</w:t>
            </w:r>
            <w:r w:rsidR="003A46E8">
              <w:rPr>
                <w:sz w:val="24"/>
                <w:szCs w:val="24"/>
              </w:rPr>
              <w:t xml:space="preserve"> </w:t>
            </w:r>
            <w:r w:rsidR="003A46E8">
              <w:rPr>
                <w:color w:val="000000"/>
                <w:sz w:val="24"/>
                <w:szCs w:val="24"/>
                <w:lang w:eastAsia="uk-UA"/>
              </w:rPr>
              <w:t>через центр надання адміністративних послуг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7F7D98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D76C29" w:rsidRDefault="00AC3886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Державна реєстрація проводиться за відсутност</w:t>
            </w:r>
            <w:r w:rsidR="008D13F5">
              <w:rPr>
                <w:sz w:val="24"/>
                <w:szCs w:val="24"/>
                <w:lang w:eastAsia="uk-UA"/>
              </w:rPr>
              <w:t xml:space="preserve">і підстав для  </w:t>
            </w:r>
            <w:r w:rsidRPr="00D76C29">
              <w:rPr>
                <w:sz w:val="24"/>
                <w:szCs w:val="24"/>
                <w:lang w:eastAsia="uk-UA"/>
              </w:rPr>
              <w:t xml:space="preserve"> відмови у де</w:t>
            </w:r>
            <w:r w:rsidR="00184C8C">
              <w:rPr>
                <w:sz w:val="24"/>
                <w:szCs w:val="24"/>
                <w:lang w:eastAsia="uk-UA"/>
              </w:rPr>
              <w:t xml:space="preserve">ржавній реєстрації не пізніше </w:t>
            </w:r>
            <w:r w:rsidR="00D2269E">
              <w:rPr>
                <w:sz w:val="24"/>
                <w:szCs w:val="24"/>
                <w:lang w:eastAsia="uk-UA"/>
              </w:rPr>
              <w:t>30</w:t>
            </w:r>
            <w:r w:rsidR="00FF69DC">
              <w:rPr>
                <w:sz w:val="24"/>
                <w:szCs w:val="24"/>
                <w:lang w:eastAsia="uk-UA"/>
              </w:rPr>
              <w:t xml:space="preserve"> календарних</w:t>
            </w:r>
            <w:r w:rsidR="008D13F5">
              <w:rPr>
                <w:sz w:val="24"/>
                <w:szCs w:val="24"/>
                <w:lang w:eastAsia="uk-UA"/>
              </w:rPr>
              <w:t xml:space="preserve"> днів з дати подання документів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A771A1" w:rsidRPr="00D76C29">
              <w:rPr>
                <w:sz w:val="24"/>
                <w:szCs w:val="24"/>
                <w:lang w:eastAsia="uk-UA"/>
              </w:rPr>
              <w:t>й</w:t>
            </w:r>
            <w:r w:rsidRPr="00D76C2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BF431B" w:rsidP="009C4221">
            <w:pPr>
              <w:tabs>
                <w:tab w:val="left" w:pos="1565"/>
              </w:tabs>
              <w:ind w:firstLine="13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статуту</w:t>
            </w:r>
            <w:r w:rsidR="00AC3886" w:rsidRPr="00D76C29">
              <w:rPr>
                <w:sz w:val="24"/>
                <w:szCs w:val="24"/>
                <w:lang w:eastAsia="uk-UA"/>
              </w:rPr>
              <w:t xml:space="preserve"> вимогам Конституції та законів України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2633B" w:rsidRPr="0017416F" w:rsidRDefault="009A037C" w:rsidP="0017416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2633B" w:rsidRPr="0017416F" w:rsidRDefault="00AC3886" w:rsidP="00D73D1F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D82" w:rsidRPr="004F52E3" w:rsidRDefault="0052633B" w:rsidP="009C4221">
            <w:pPr>
              <w:tabs>
                <w:tab w:val="left" w:pos="358"/>
                <w:tab w:val="left" w:pos="449"/>
              </w:tabs>
              <w:ind w:firstLine="139"/>
              <w:rPr>
                <w:sz w:val="24"/>
                <w:szCs w:val="24"/>
                <w:lang w:eastAsia="uk-UA"/>
              </w:rPr>
            </w:pPr>
            <w:bookmarkStart w:id="5" w:name="o638"/>
            <w:bookmarkEnd w:id="5"/>
            <w:r>
              <w:rPr>
                <w:sz w:val="24"/>
                <w:szCs w:val="24"/>
                <w:lang w:eastAsia="uk-UA"/>
              </w:rPr>
              <w:t>Р</w:t>
            </w:r>
            <w:r w:rsidR="008C7D82">
              <w:rPr>
                <w:sz w:val="24"/>
                <w:szCs w:val="24"/>
                <w:lang w:eastAsia="uk-UA"/>
              </w:rPr>
              <w:t>ішення про проведення державної реєстрації</w:t>
            </w:r>
            <w:r w:rsidR="0072546D">
              <w:rPr>
                <w:sz w:val="24"/>
                <w:szCs w:val="24"/>
                <w:lang w:eastAsia="uk-UA"/>
              </w:rPr>
              <w:t xml:space="preserve"> статуту територіальної громади</w:t>
            </w:r>
            <w:r w:rsidR="008C7D82">
              <w:rPr>
                <w:sz w:val="24"/>
                <w:szCs w:val="24"/>
                <w:lang w:eastAsia="uk-UA"/>
              </w:rPr>
              <w:t>;</w:t>
            </w:r>
          </w:p>
          <w:p w:rsidR="000266BE" w:rsidRDefault="0052633B" w:rsidP="009C4221">
            <w:pPr>
              <w:tabs>
                <w:tab w:val="left" w:pos="358"/>
                <w:tab w:val="left" w:pos="449"/>
              </w:tabs>
              <w:ind w:firstLine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свідоцтво</w:t>
            </w:r>
            <w:r w:rsidR="00AF7913">
              <w:rPr>
                <w:color w:val="000000"/>
                <w:sz w:val="24"/>
                <w:szCs w:val="24"/>
              </w:rPr>
              <w:t xml:space="preserve"> про</w:t>
            </w:r>
            <w:r w:rsidR="000266BE" w:rsidRPr="006765E8">
              <w:rPr>
                <w:color w:val="000000"/>
                <w:sz w:val="24"/>
                <w:szCs w:val="24"/>
              </w:rPr>
              <w:t xml:space="preserve"> державну реєстрацію </w:t>
            </w:r>
            <w:r>
              <w:rPr>
                <w:color w:val="000000"/>
                <w:sz w:val="24"/>
                <w:szCs w:val="24"/>
              </w:rPr>
              <w:t>статуту територіальної громади;</w:t>
            </w:r>
          </w:p>
          <w:p w:rsidR="00D86FA0" w:rsidRDefault="00D86FA0" w:rsidP="009C4221">
            <w:pPr>
              <w:tabs>
                <w:tab w:val="left" w:pos="358"/>
                <w:tab w:val="left" w:pos="449"/>
              </w:tabs>
              <w:ind w:firstLine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один примірник статуту територіальної громади;</w:t>
            </w:r>
          </w:p>
          <w:p w:rsidR="0052633B" w:rsidRDefault="0052633B" w:rsidP="009C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внесення відомостей</w:t>
            </w:r>
            <w:r w:rsidR="00DB606D">
              <w:rPr>
                <w:color w:val="000000"/>
                <w:sz w:val="24"/>
                <w:szCs w:val="24"/>
                <w:lang w:eastAsia="uk-UA"/>
              </w:rPr>
              <w:t xml:space="preserve"> про державну реєстрацію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статуту територіальної громади</w:t>
            </w:r>
            <w:r w:rsidR="00DB606D" w:rsidRPr="000266BE">
              <w:rPr>
                <w:color w:val="000000"/>
                <w:sz w:val="24"/>
                <w:szCs w:val="24"/>
                <w:lang w:eastAsia="uk-UA"/>
              </w:rPr>
              <w:t xml:space="preserve"> до реєстру с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татутів територіальних </w:t>
            </w:r>
            <w:r>
              <w:rPr>
                <w:color w:val="000000"/>
                <w:sz w:val="24"/>
                <w:szCs w:val="24"/>
                <w:lang w:eastAsia="uk-UA"/>
              </w:rPr>
              <w:br/>
              <w:t>громад;</w:t>
            </w:r>
          </w:p>
          <w:p w:rsidR="00DB606D" w:rsidRPr="003A46E8" w:rsidRDefault="0052633B" w:rsidP="009C4221">
            <w:pPr>
              <w:tabs>
                <w:tab w:val="left" w:pos="358"/>
                <w:tab w:val="left" w:pos="449"/>
              </w:tabs>
              <w:ind w:firstLine="13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</w:t>
            </w:r>
            <w:r w:rsidRPr="00D76C29">
              <w:rPr>
                <w:sz w:val="24"/>
                <w:szCs w:val="24"/>
                <w:lang w:eastAsia="uk-UA"/>
              </w:rPr>
              <w:t xml:space="preserve"> про відмову у</w:t>
            </w:r>
            <w:r w:rsidR="008D13F5">
              <w:rPr>
                <w:sz w:val="24"/>
                <w:szCs w:val="24"/>
                <w:lang w:eastAsia="uk-UA"/>
              </w:rPr>
              <w:t xml:space="preserve"> державній реєстрації</w:t>
            </w:r>
            <w:r w:rsidR="0072546D">
              <w:rPr>
                <w:sz w:val="24"/>
                <w:szCs w:val="24"/>
                <w:lang w:eastAsia="uk-UA"/>
              </w:rPr>
              <w:t xml:space="preserve"> статуту територіальної громади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52633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A07CD1" w:rsidRDefault="00C33B14" w:rsidP="009C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Видача документів здійснюється </w:t>
            </w:r>
            <w:r w:rsidR="003A46E8">
              <w:rPr>
                <w:color w:val="000000"/>
                <w:sz w:val="24"/>
                <w:szCs w:val="24"/>
                <w:lang w:eastAsia="uk-UA"/>
              </w:rPr>
              <w:t>через центр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</w:p>
        </w:tc>
      </w:tr>
    </w:tbl>
    <w:p w:rsidR="002079DD" w:rsidRPr="009C4221" w:rsidRDefault="002079DD" w:rsidP="005F16C2">
      <w:pPr>
        <w:rPr>
          <w:sz w:val="20"/>
          <w:szCs w:val="20"/>
          <w:lang w:val="ru-RU"/>
        </w:rPr>
      </w:pPr>
      <w:bookmarkStart w:id="6" w:name="n43"/>
      <w:bookmarkEnd w:id="6"/>
    </w:p>
    <w:p w:rsidR="005F16C2" w:rsidRDefault="005F16C2" w:rsidP="005F16C2">
      <w:pPr>
        <w:rPr>
          <w:lang w:val="ru-RU"/>
        </w:rPr>
      </w:pPr>
    </w:p>
    <w:p w:rsidR="00AE3FC6" w:rsidRDefault="00AE3FC6" w:rsidP="005F16C2">
      <w:pPr>
        <w:rPr>
          <w:lang w:val="ru-RU"/>
        </w:rPr>
      </w:pPr>
    </w:p>
    <w:p w:rsidR="00AE3FC6" w:rsidRPr="00D84969" w:rsidRDefault="00AE3FC6" w:rsidP="005F16C2">
      <w:pPr>
        <w:rPr>
          <w:lang w:val="ru-RU"/>
        </w:rPr>
      </w:pPr>
    </w:p>
    <w:tbl>
      <w:tblPr>
        <w:tblStyle w:val="aa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7"/>
        <w:gridCol w:w="3260"/>
      </w:tblGrid>
      <w:tr w:rsidR="00D76C29" w:rsidRPr="00D76C29" w:rsidTr="00A06F4E">
        <w:tc>
          <w:tcPr>
            <w:tcW w:w="5387" w:type="dxa"/>
          </w:tcPr>
          <w:p w:rsidR="00A771A1" w:rsidRPr="00D76C29" w:rsidRDefault="00A771A1" w:rsidP="00AA170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771A1" w:rsidRPr="00D76C29" w:rsidRDefault="00A771A1" w:rsidP="00C2231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771A1" w:rsidRPr="00D76C29" w:rsidRDefault="00A771A1" w:rsidP="00A771A1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A771A1" w:rsidRPr="003342A5" w:rsidRDefault="00A771A1" w:rsidP="005F16C2">
      <w:pPr>
        <w:rPr>
          <w:lang w:val="ru-RU"/>
        </w:rPr>
      </w:pPr>
    </w:p>
    <w:sectPr w:rsidR="00A771A1" w:rsidRPr="003342A5" w:rsidSect="0077512A">
      <w:headerReference w:type="default" r:id="rId8"/>
      <w:pgSz w:w="11906" w:h="16838"/>
      <w:pgMar w:top="850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AC" w:rsidRDefault="003B25AC">
      <w:r>
        <w:separator/>
      </w:r>
    </w:p>
  </w:endnote>
  <w:endnote w:type="continuationSeparator" w:id="0">
    <w:p w:rsidR="003B25AC" w:rsidRDefault="003B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AC" w:rsidRDefault="003B25AC">
      <w:r>
        <w:separator/>
      </w:r>
    </w:p>
  </w:footnote>
  <w:footnote w:type="continuationSeparator" w:id="0">
    <w:p w:rsidR="003B25AC" w:rsidRDefault="003B2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Default="00010AF8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DB4AD4" w:rsidRPr="00DB4AD4">
      <w:rPr>
        <w:noProof/>
        <w:sz w:val="24"/>
        <w:szCs w:val="24"/>
        <w:lang w:val="ru-RU"/>
      </w:rPr>
      <w:t>2</w:t>
    </w:r>
    <w:r w:rsidRPr="005D0BC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211"/>
    <w:rsid w:val="000266BE"/>
    <w:rsid w:val="000275FA"/>
    <w:rsid w:val="0003568B"/>
    <w:rsid w:val="00036A10"/>
    <w:rsid w:val="000501F4"/>
    <w:rsid w:val="00084C05"/>
    <w:rsid w:val="000A7058"/>
    <w:rsid w:val="000C6DD1"/>
    <w:rsid w:val="000D6D83"/>
    <w:rsid w:val="000D723E"/>
    <w:rsid w:val="000D7F89"/>
    <w:rsid w:val="000E5427"/>
    <w:rsid w:val="0013382C"/>
    <w:rsid w:val="00151C7D"/>
    <w:rsid w:val="00153647"/>
    <w:rsid w:val="00161DF8"/>
    <w:rsid w:val="0017416F"/>
    <w:rsid w:val="001755C1"/>
    <w:rsid w:val="00184BB5"/>
    <w:rsid w:val="00184C8C"/>
    <w:rsid w:val="001B0749"/>
    <w:rsid w:val="001D679E"/>
    <w:rsid w:val="002079DD"/>
    <w:rsid w:val="00246DBC"/>
    <w:rsid w:val="00262D99"/>
    <w:rsid w:val="002A496D"/>
    <w:rsid w:val="002D4719"/>
    <w:rsid w:val="003342A5"/>
    <w:rsid w:val="0033489E"/>
    <w:rsid w:val="00372F6B"/>
    <w:rsid w:val="00396314"/>
    <w:rsid w:val="003A46E8"/>
    <w:rsid w:val="003B25AC"/>
    <w:rsid w:val="003F3305"/>
    <w:rsid w:val="00424A4A"/>
    <w:rsid w:val="0042643B"/>
    <w:rsid w:val="0044324F"/>
    <w:rsid w:val="00460E6C"/>
    <w:rsid w:val="004B42AC"/>
    <w:rsid w:val="004E1AA1"/>
    <w:rsid w:val="004F547B"/>
    <w:rsid w:val="0051129E"/>
    <w:rsid w:val="0052271C"/>
    <w:rsid w:val="0052633B"/>
    <w:rsid w:val="00530AE2"/>
    <w:rsid w:val="005316A9"/>
    <w:rsid w:val="00555221"/>
    <w:rsid w:val="00586BB0"/>
    <w:rsid w:val="00593D02"/>
    <w:rsid w:val="005D0BC1"/>
    <w:rsid w:val="005D58EA"/>
    <w:rsid w:val="005F16C2"/>
    <w:rsid w:val="00605DB1"/>
    <w:rsid w:val="0061775A"/>
    <w:rsid w:val="006245A0"/>
    <w:rsid w:val="00647472"/>
    <w:rsid w:val="006765E8"/>
    <w:rsid w:val="006C04E6"/>
    <w:rsid w:val="006F3722"/>
    <w:rsid w:val="00707A52"/>
    <w:rsid w:val="0072163C"/>
    <w:rsid w:val="0072546D"/>
    <w:rsid w:val="007646EF"/>
    <w:rsid w:val="0077512A"/>
    <w:rsid w:val="0078294A"/>
    <w:rsid w:val="007D680F"/>
    <w:rsid w:val="007E6B87"/>
    <w:rsid w:val="007F7D98"/>
    <w:rsid w:val="00820B6D"/>
    <w:rsid w:val="00836CD2"/>
    <w:rsid w:val="008C7D82"/>
    <w:rsid w:val="008D13F5"/>
    <w:rsid w:val="008D5C0C"/>
    <w:rsid w:val="008E40C3"/>
    <w:rsid w:val="008F568E"/>
    <w:rsid w:val="00950031"/>
    <w:rsid w:val="009664FB"/>
    <w:rsid w:val="00997861"/>
    <w:rsid w:val="009A037C"/>
    <w:rsid w:val="009C4221"/>
    <w:rsid w:val="009E0581"/>
    <w:rsid w:val="00A06F4E"/>
    <w:rsid w:val="00A07CD1"/>
    <w:rsid w:val="00A71278"/>
    <w:rsid w:val="00A771A1"/>
    <w:rsid w:val="00A80983"/>
    <w:rsid w:val="00A84281"/>
    <w:rsid w:val="00A851E2"/>
    <w:rsid w:val="00AA170B"/>
    <w:rsid w:val="00AC0F35"/>
    <w:rsid w:val="00AC3886"/>
    <w:rsid w:val="00AD4456"/>
    <w:rsid w:val="00AE3FC6"/>
    <w:rsid w:val="00AF660F"/>
    <w:rsid w:val="00AF7913"/>
    <w:rsid w:val="00B22FA0"/>
    <w:rsid w:val="00B432CC"/>
    <w:rsid w:val="00B54254"/>
    <w:rsid w:val="00B555A2"/>
    <w:rsid w:val="00BB06FD"/>
    <w:rsid w:val="00BD0903"/>
    <w:rsid w:val="00BF431B"/>
    <w:rsid w:val="00BF644E"/>
    <w:rsid w:val="00C06F02"/>
    <w:rsid w:val="00C23B57"/>
    <w:rsid w:val="00C33A24"/>
    <w:rsid w:val="00C33B14"/>
    <w:rsid w:val="00C36C08"/>
    <w:rsid w:val="00C70B27"/>
    <w:rsid w:val="00C902E8"/>
    <w:rsid w:val="00C95909"/>
    <w:rsid w:val="00CB6F81"/>
    <w:rsid w:val="00CD416B"/>
    <w:rsid w:val="00D212F0"/>
    <w:rsid w:val="00D2269E"/>
    <w:rsid w:val="00D512B9"/>
    <w:rsid w:val="00D51737"/>
    <w:rsid w:val="00D57F69"/>
    <w:rsid w:val="00D76C29"/>
    <w:rsid w:val="00D84969"/>
    <w:rsid w:val="00D86FA0"/>
    <w:rsid w:val="00D9209C"/>
    <w:rsid w:val="00D92E0A"/>
    <w:rsid w:val="00D96906"/>
    <w:rsid w:val="00DB4AD4"/>
    <w:rsid w:val="00DB606D"/>
    <w:rsid w:val="00DC2A9F"/>
    <w:rsid w:val="00DD003D"/>
    <w:rsid w:val="00E1567D"/>
    <w:rsid w:val="00EB59D0"/>
    <w:rsid w:val="00EC4850"/>
    <w:rsid w:val="00F03964"/>
    <w:rsid w:val="00F03E60"/>
    <w:rsid w:val="00F579DA"/>
    <w:rsid w:val="00F661B7"/>
    <w:rsid w:val="00F97A03"/>
    <w:rsid w:val="00FD7ACE"/>
    <w:rsid w:val="00FF153D"/>
    <w:rsid w:val="00FF4479"/>
    <w:rsid w:val="00FF69DC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AFAC0-A178-43CC-8F63-928C7810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injust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n.minjust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2585</Words>
  <Characters>1475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Admin</cp:lastModifiedBy>
  <cp:revision>64</cp:revision>
  <cp:lastPrinted>2017-07-27T08:46:00Z</cp:lastPrinted>
  <dcterms:created xsi:type="dcterms:W3CDTF">2016-06-19T12:28:00Z</dcterms:created>
  <dcterms:modified xsi:type="dcterms:W3CDTF">2017-07-28T06:46:00Z</dcterms:modified>
</cp:coreProperties>
</file>