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6E" w:rsidRDefault="00851A6E" w:rsidP="002F2E42">
      <w:pPr>
        <w:framePr w:w="1424" w:hSpace="141" w:wrap="auto" w:vAnchor="text" w:hAnchor="page" w:x="5812" w:y="1"/>
        <w:ind w:left="-4485" w:right="-4485"/>
        <w:jc w:val="center"/>
      </w:pPr>
      <w:r w:rsidRPr="00191A19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571548760" r:id="rId8"/>
        </w:object>
      </w:r>
    </w:p>
    <w:p w:rsidR="00851A6E" w:rsidRDefault="00851A6E">
      <w:pPr>
        <w:pStyle w:val="IndexHeading"/>
      </w:pPr>
    </w:p>
    <w:p w:rsidR="00851A6E" w:rsidRDefault="00851A6E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851A6E" w:rsidRDefault="00851A6E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851A6E" w:rsidRDefault="00851A6E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851A6E" w:rsidRDefault="00851A6E">
      <w:pPr>
        <w:pStyle w:val="Heading1"/>
        <w:rPr>
          <w:color w:val="000080"/>
          <w:spacing w:val="40"/>
          <w:sz w:val="28"/>
          <w:szCs w:val="28"/>
        </w:rPr>
      </w:pPr>
      <w:r>
        <w:rPr>
          <w:color w:val="000080"/>
          <w:spacing w:val="40"/>
          <w:sz w:val="28"/>
          <w:szCs w:val="28"/>
        </w:rPr>
        <w:t>Україна</w:t>
      </w:r>
    </w:p>
    <w:p w:rsidR="00851A6E" w:rsidRDefault="00851A6E">
      <w:pPr>
        <w:pStyle w:val="Heading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ТУЛЬЧИНСЬКА РАЙОННА ДЕРЖАВНА АДМІНІСТРАЦІЯ</w:t>
      </w:r>
    </w:p>
    <w:p w:rsidR="00851A6E" w:rsidRDefault="00851A6E">
      <w:pPr>
        <w:pStyle w:val="Heading2"/>
        <w:rPr>
          <w:color w:val="000080"/>
          <w:spacing w:val="20"/>
          <w:sz w:val="28"/>
          <w:szCs w:val="28"/>
        </w:rPr>
      </w:pPr>
      <w:r>
        <w:rPr>
          <w:color w:val="000080"/>
          <w:spacing w:val="20"/>
          <w:sz w:val="28"/>
          <w:szCs w:val="28"/>
        </w:rPr>
        <w:t>Вінницької  області</w:t>
      </w:r>
    </w:p>
    <w:p w:rsidR="00851A6E" w:rsidRDefault="00851A6E">
      <w:pPr>
        <w:rPr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851A6E" w:rsidRPr="00931D64" w:rsidRDefault="00851A6E" w:rsidP="00931D64">
      <w:pPr>
        <w:jc w:val="center"/>
        <w:rPr>
          <w:b/>
          <w:sz w:val="28"/>
          <w:szCs w:val="28"/>
        </w:rPr>
      </w:pPr>
      <w:r w:rsidRPr="00707CCB">
        <w:rPr>
          <w:b/>
          <w:sz w:val="28"/>
          <w:szCs w:val="28"/>
        </w:rPr>
        <w:t>РОЗПОРЯДЖЕННЯ</w:t>
      </w:r>
    </w:p>
    <w:p w:rsidR="00851A6E" w:rsidRDefault="00851A6E" w:rsidP="006F4746">
      <w:pPr>
        <w:jc w:val="both"/>
      </w:pPr>
    </w:p>
    <w:tbl>
      <w:tblPr>
        <w:tblW w:w="0" w:type="auto"/>
        <w:tblInd w:w="10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851A6E" w:rsidTr="00931D64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1A6E" w:rsidRDefault="00851A6E" w:rsidP="002377B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A6E" w:rsidRDefault="00851A6E" w:rsidP="002377B6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1A6E" w:rsidRDefault="00851A6E" w:rsidP="002377B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A6E" w:rsidRDefault="00851A6E" w:rsidP="00DC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51A6E" w:rsidRPr="00340140" w:rsidRDefault="00851A6E" w:rsidP="002377B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851A6E" w:rsidRDefault="00851A6E" w:rsidP="00237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A6E" w:rsidRDefault="00851A6E" w:rsidP="002377B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</w:tbl>
    <w:p w:rsidR="00851A6E" w:rsidRPr="00340140" w:rsidRDefault="00851A6E" w:rsidP="00931D64">
      <w:pPr>
        <w:rPr>
          <w:sz w:val="20"/>
          <w:szCs w:val="20"/>
        </w:rPr>
      </w:pPr>
    </w:p>
    <w:p w:rsidR="00851A6E" w:rsidRDefault="00851A6E" w:rsidP="00340140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851A6E" w:rsidRDefault="00851A6E" w:rsidP="00340140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створення комісії з обстеження доріг загального користування місцев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значення, що передаються до сфери управління облдержадміністрації</w:t>
      </w:r>
    </w:p>
    <w:p w:rsidR="00851A6E" w:rsidRPr="00931D64" w:rsidRDefault="00851A6E" w:rsidP="00931D64">
      <w:pPr>
        <w:tabs>
          <w:tab w:val="left" w:pos="4253"/>
        </w:tabs>
        <w:spacing w:line="276" w:lineRule="auto"/>
        <w:jc w:val="center"/>
        <w:rPr>
          <w:b/>
          <w:sz w:val="28"/>
          <w:szCs w:val="28"/>
        </w:rPr>
      </w:pPr>
    </w:p>
    <w:p w:rsidR="00851A6E" w:rsidRDefault="00851A6E" w:rsidP="00C90436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39</w:t>
      </w:r>
      <w:r w:rsidRPr="00931D64">
        <w:rPr>
          <w:sz w:val="28"/>
          <w:szCs w:val="28"/>
        </w:rPr>
        <w:t xml:space="preserve"> Закону України «Про місцеві державні </w:t>
      </w:r>
      <w:r>
        <w:rPr>
          <w:sz w:val="28"/>
          <w:szCs w:val="28"/>
        </w:rPr>
        <w:t>адміністрації», відповідно до Закону України «Про автомобільні дороги», Протоколу міжвідо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чої наради з реалізації Плану заходів з передачі автомобільних доріг загального користування місцевого значення зі сфери управління державного агентства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томобільних доріг України до сфери управління обласних державних адмініс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рацій від 07.06.2017 року, на виконання доручення голови обласної державної адміністрації від  03.11.2017 року №01.01-11/6542 «Деякі питання обстеження автомобільних доріг загального користування місцевого значення, що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ються до сфери управління облдержадміністрації» та з метою ефективного 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ристання державного майна:</w:t>
      </w:r>
    </w:p>
    <w:p w:rsidR="00851A6E" w:rsidRPr="0065189F" w:rsidRDefault="00851A6E" w:rsidP="00C90436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851A6E" w:rsidRDefault="00851A6E" w:rsidP="00C90436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65189F">
        <w:rPr>
          <w:sz w:val="28"/>
          <w:szCs w:val="28"/>
        </w:rPr>
        <w:t xml:space="preserve">1. </w:t>
      </w:r>
      <w:r>
        <w:rPr>
          <w:sz w:val="28"/>
          <w:szCs w:val="28"/>
        </w:rPr>
        <w:t>Утворити комісію</w:t>
      </w:r>
      <w:r w:rsidRPr="0065189F">
        <w:rPr>
          <w:sz w:val="28"/>
          <w:szCs w:val="28"/>
        </w:rPr>
        <w:t xml:space="preserve"> з обстеження доріг за</w:t>
      </w:r>
      <w:r>
        <w:rPr>
          <w:sz w:val="28"/>
          <w:szCs w:val="28"/>
        </w:rPr>
        <w:t xml:space="preserve">гального користування місцевого </w:t>
      </w:r>
      <w:r w:rsidRPr="0065189F">
        <w:rPr>
          <w:sz w:val="28"/>
          <w:szCs w:val="28"/>
        </w:rPr>
        <w:t>значення, що передаються до сфери управління облдержадміністрації</w:t>
      </w:r>
      <w:r>
        <w:rPr>
          <w:sz w:val="28"/>
          <w:szCs w:val="28"/>
        </w:rPr>
        <w:t>, затверд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вши у складі, що додається.</w:t>
      </w:r>
    </w:p>
    <w:p w:rsidR="00851A6E" w:rsidRPr="002F2E42" w:rsidRDefault="00851A6E" w:rsidP="00C90436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1D64">
        <w:rPr>
          <w:sz w:val="28"/>
          <w:szCs w:val="28"/>
        </w:rPr>
        <w:t xml:space="preserve">. Контроль за виконання </w:t>
      </w:r>
      <w:r>
        <w:rPr>
          <w:sz w:val="28"/>
          <w:szCs w:val="28"/>
        </w:rPr>
        <w:t>цього розпорядження залишаю за собою.</w:t>
      </w:r>
    </w:p>
    <w:p w:rsidR="00851A6E" w:rsidRDefault="00851A6E" w:rsidP="003E1A8D">
      <w:pPr>
        <w:jc w:val="both"/>
        <w:rPr>
          <w:b/>
          <w:sz w:val="28"/>
          <w:szCs w:val="28"/>
        </w:rPr>
      </w:pPr>
    </w:p>
    <w:p w:rsidR="00851A6E" w:rsidRPr="00313473" w:rsidRDefault="00851A6E">
      <w:pPr>
        <w:shd w:val="clear" w:color="auto" w:fill="FFFFFF"/>
        <w:jc w:val="both"/>
        <w:rPr>
          <w:b/>
          <w:sz w:val="28"/>
          <w:szCs w:val="28"/>
        </w:rPr>
      </w:pPr>
      <w:r w:rsidRPr="00313473">
        <w:rPr>
          <w:b/>
          <w:sz w:val="28"/>
          <w:szCs w:val="28"/>
        </w:rPr>
        <w:t xml:space="preserve">Голова районної </w:t>
      </w:r>
    </w:p>
    <w:p w:rsidR="00851A6E" w:rsidRPr="00313473" w:rsidRDefault="00851A6E">
      <w:pPr>
        <w:shd w:val="clear" w:color="auto" w:fill="FFFFFF"/>
        <w:jc w:val="both"/>
        <w:rPr>
          <w:b/>
          <w:sz w:val="28"/>
          <w:szCs w:val="28"/>
        </w:rPr>
      </w:pPr>
      <w:r w:rsidRPr="00313473">
        <w:rPr>
          <w:b/>
          <w:sz w:val="28"/>
          <w:szCs w:val="28"/>
        </w:rPr>
        <w:t xml:space="preserve">державної адміністрації </w:t>
      </w:r>
      <w:r w:rsidRPr="00313473">
        <w:rPr>
          <w:b/>
          <w:sz w:val="28"/>
          <w:szCs w:val="28"/>
        </w:rPr>
        <w:tab/>
      </w:r>
      <w:r w:rsidRPr="00313473">
        <w:rPr>
          <w:b/>
          <w:sz w:val="28"/>
          <w:szCs w:val="28"/>
        </w:rPr>
        <w:tab/>
      </w:r>
      <w:r w:rsidRPr="00313473">
        <w:rPr>
          <w:b/>
          <w:sz w:val="28"/>
          <w:szCs w:val="28"/>
        </w:rPr>
        <w:tab/>
      </w:r>
      <w:r w:rsidRPr="00313473">
        <w:rPr>
          <w:b/>
          <w:sz w:val="28"/>
          <w:szCs w:val="28"/>
        </w:rPr>
        <w:tab/>
        <w:t xml:space="preserve">Микола Підболячний </w:t>
      </w:r>
    </w:p>
    <w:p w:rsidR="00851A6E" w:rsidRDefault="00851A6E" w:rsidP="003E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1A6E" w:rsidRDefault="00851A6E" w:rsidP="003E1A8D">
      <w:pPr>
        <w:rPr>
          <w:b/>
          <w:sz w:val="28"/>
          <w:szCs w:val="28"/>
        </w:rPr>
      </w:pPr>
    </w:p>
    <w:p w:rsidR="00851A6E" w:rsidRDefault="00851A6E" w:rsidP="003E1A8D">
      <w:pPr>
        <w:rPr>
          <w:b/>
          <w:bCs/>
          <w:sz w:val="28"/>
        </w:rPr>
      </w:pPr>
    </w:p>
    <w:p w:rsidR="00851A6E" w:rsidRPr="00485FE5" w:rsidRDefault="00851A6E" w:rsidP="00340140"/>
    <w:p w:rsidR="00851A6E" w:rsidRDefault="00851A6E" w:rsidP="0065189F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851A6E" w:rsidRDefault="00851A6E" w:rsidP="0065189F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Pr="00C90436" w:rsidRDefault="00851A6E" w:rsidP="00C90436">
      <w:pPr>
        <w:tabs>
          <w:tab w:val="left" w:pos="4536"/>
        </w:tabs>
        <w:spacing w:line="276" w:lineRule="auto"/>
        <w:ind w:left="4485"/>
        <w:rPr>
          <w:sz w:val="28"/>
          <w:szCs w:val="28"/>
        </w:rPr>
      </w:pPr>
      <w:r w:rsidRPr="00C90436">
        <w:rPr>
          <w:sz w:val="28"/>
          <w:szCs w:val="28"/>
        </w:rPr>
        <w:t>Затверджено</w:t>
      </w:r>
    </w:p>
    <w:p w:rsidR="00851A6E" w:rsidRPr="00C90436" w:rsidRDefault="00851A6E" w:rsidP="00C90436">
      <w:pPr>
        <w:tabs>
          <w:tab w:val="left" w:pos="4536"/>
        </w:tabs>
        <w:spacing w:line="276" w:lineRule="auto"/>
        <w:ind w:left="4485"/>
        <w:rPr>
          <w:sz w:val="28"/>
          <w:szCs w:val="28"/>
        </w:rPr>
      </w:pPr>
      <w:r w:rsidRPr="00C90436">
        <w:rPr>
          <w:sz w:val="28"/>
          <w:szCs w:val="28"/>
        </w:rPr>
        <w:t>Розпорядження голови</w:t>
      </w:r>
    </w:p>
    <w:p w:rsidR="00851A6E" w:rsidRPr="00C90436" w:rsidRDefault="00851A6E" w:rsidP="00C90436">
      <w:pPr>
        <w:tabs>
          <w:tab w:val="left" w:pos="4536"/>
        </w:tabs>
        <w:spacing w:line="276" w:lineRule="auto"/>
        <w:ind w:left="4485"/>
        <w:rPr>
          <w:sz w:val="28"/>
          <w:szCs w:val="28"/>
        </w:rPr>
      </w:pPr>
      <w:r w:rsidRPr="00C90436">
        <w:rPr>
          <w:sz w:val="28"/>
          <w:szCs w:val="28"/>
        </w:rPr>
        <w:t>райдержадміністрації</w:t>
      </w:r>
    </w:p>
    <w:p w:rsidR="00851A6E" w:rsidRPr="00C90436" w:rsidRDefault="00851A6E" w:rsidP="00C90436">
      <w:pPr>
        <w:tabs>
          <w:tab w:val="left" w:pos="4536"/>
        </w:tabs>
        <w:spacing w:line="276" w:lineRule="auto"/>
        <w:ind w:left="4485"/>
        <w:rPr>
          <w:sz w:val="28"/>
          <w:szCs w:val="28"/>
        </w:rPr>
      </w:pPr>
      <w:r w:rsidRPr="00C90436">
        <w:rPr>
          <w:sz w:val="28"/>
          <w:szCs w:val="28"/>
        </w:rPr>
        <w:t>від 06 листопада 2017 р. № 358</w:t>
      </w:r>
    </w:p>
    <w:p w:rsidR="00851A6E" w:rsidRPr="00836786" w:rsidRDefault="00851A6E" w:rsidP="00836786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851A6E" w:rsidRDefault="00851A6E" w:rsidP="00836786">
      <w:pPr>
        <w:tabs>
          <w:tab w:val="left" w:pos="4536"/>
        </w:tabs>
        <w:spacing w:line="276" w:lineRule="auto"/>
        <w:jc w:val="right"/>
        <w:rPr>
          <w:sz w:val="28"/>
          <w:szCs w:val="28"/>
        </w:rPr>
      </w:pPr>
    </w:p>
    <w:p w:rsidR="00851A6E" w:rsidRDefault="00851A6E" w:rsidP="00D278F7">
      <w:pPr>
        <w:tabs>
          <w:tab w:val="left" w:pos="4253"/>
        </w:tabs>
        <w:jc w:val="center"/>
        <w:rPr>
          <w:b/>
          <w:sz w:val="28"/>
          <w:szCs w:val="28"/>
        </w:rPr>
      </w:pPr>
      <w:r w:rsidRPr="00D278F7">
        <w:rPr>
          <w:b/>
          <w:sz w:val="28"/>
          <w:szCs w:val="28"/>
        </w:rPr>
        <w:t xml:space="preserve">Склад комісії </w:t>
      </w:r>
    </w:p>
    <w:p w:rsidR="00851A6E" w:rsidRDefault="00851A6E" w:rsidP="00D278F7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обстеження доріг загального користування місцевого значення, що пер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даються до сфери управління облдержадміністрації</w:t>
      </w:r>
    </w:p>
    <w:p w:rsidR="00851A6E" w:rsidRDefault="00851A6E" w:rsidP="00A274DE">
      <w:pPr>
        <w:tabs>
          <w:tab w:val="left" w:pos="4536"/>
        </w:tabs>
        <w:spacing w:line="276" w:lineRule="auto"/>
        <w:rPr>
          <w:b/>
          <w:sz w:val="28"/>
          <w:szCs w:val="28"/>
        </w:rPr>
      </w:pPr>
    </w:p>
    <w:p w:rsidR="00851A6E" w:rsidRPr="00C04027" w:rsidRDefault="00851A6E" w:rsidP="009C0E5A">
      <w:pPr>
        <w:tabs>
          <w:tab w:val="left" w:pos="453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10053" w:type="dxa"/>
        <w:tblLook w:val="01E0"/>
      </w:tblPr>
      <w:tblGrid>
        <w:gridCol w:w="4068"/>
        <w:gridCol w:w="5985"/>
      </w:tblGrid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Побережник</w:t>
            </w:r>
          </w:p>
          <w:p w:rsidR="00851A6E" w:rsidRPr="0057475D" w:rsidRDefault="00851A6E" w:rsidP="0057475D">
            <w:pPr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Віталій Іванович</w:t>
            </w:r>
            <w:r w:rsidRPr="0057475D">
              <w:rPr>
                <w:b/>
                <w:color w:val="000000"/>
              </w:rPr>
              <w:br w:type="column"/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</w:rPr>
            </w:pPr>
            <w:r w:rsidRPr="0057475D">
              <w:rPr>
                <w:color w:val="000000"/>
                <w:spacing w:val="-3"/>
              </w:rPr>
              <w:t>перший заступник голови райдержадміністра</w:t>
            </w:r>
            <w:r w:rsidRPr="0057475D">
              <w:rPr>
                <w:color w:val="000000"/>
                <w:spacing w:val="-3"/>
              </w:rPr>
              <w:softHyphen/>
            </w:r>
            <w:r w:rsidRPr="0057475D">
              <w:rPr>
                <w:color w:val="000000"/>
              </w:rPr>
              <w:t>ції, г</w:t>
            </w:r>
            <w:r w:rsidRPr="0057475D">
              <w:rPr>
                <w:color w:val="000000"/>
              </w:rPr>
              <w:t>о</w:t>
            </w:r>
            <w:r w:rsidRPr="0057475D">
              <w:rPr>
                <w:color w:val="000000"/>
              </w:rPr>
              <w:t>лова комісії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Шевчук</w:t>
            </w:r>
          </w:p>
          <w:p w:rsidR="00851A6E" w:rsidRPr="0057475D" w:rsidRDefault="00851A6E" w:rsidP="0057475D">
            <w:pPr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Микола Олексійович </w:t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>головний спеціаліст відділу містобудування, архіт</w:t>
            </w:r>
            <w:r w:rsidRPr="0057475D">
              <w:rPr>
                <w:color w:val="000000"/>
                <w:spacing w:val="-3"/>
              </w:rPr>
              <w:t>е</w:t>
            </w:r>
            <w:r w:rsidRPr="0057475D">
              <w:rPr>
                <w:color w:val="000000"/>
                <w:spacing w:val="-3"/>
              </w:rPr>
              <w:t>ктури, житлово-комунального господарства та і</w:t>
            </w:r>
            <w:r w:rsidRPr="0057475D">
              <w:rPr>
                <w:color w:val="000000"/>
                <w:spacing w:val="-3"/>
              </w:rPr>
              <w:t>н</w:t>
            </w:r>
            <w:r w:rsidRPr="0057475D">
              <w:rPr>
                <w:color w:val="000000"/>
                <w:spacing w:val="-3"/>
              </w:rPr>
              <w:t>фраструктури райдержадміністрації, секр</w:t>
            </w:r>
            <w:r w:rsidRPr="0057475D">
              <w:rPr>
                <w:color w:val="000000"/>
                <w:spacing w:val="-3"/>
              </w:rPr>
              <w:t>е</w:t>
            </w:r>
            <w:r w:rsidRPr="0057475D">
              <w:rPr>
                <w:color w:val="000000"/>
                <w:spacing w:val="-3"/>
              </w:rPr>
              <w:t>тар комісії</w:t>
            </w:r>
          </w:p>
        </w:tc>
      </w:tr>
      <w:tr w:rsidR="00851A6E" w:rsidRPr="007B0703" w:rsidTr="00C90436">
        <w:tc>
          <w:tcPr>
            <w:tcW w:w="10053" w:type="dxa"/>
            <w:gridSpan w:val="2"/>
          </w:tcPr>
          <w:p w:rsidR="00851A6E" w:rsidRPr="0057475D" w:rsidRDefault="00851A6E" w:rsidP="00C90436">
            <w:pPr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Члени комісії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Бойко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Анатолій Сергійович</w:t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>інженер I-ї категорії відділу якості, технічного кон</w:t>
            </w:r>
            <w:r w:rsidRPr="0057475D">
              <w:rPr>
                <w:color w:val="000000"/>
                <w:spacing w:val="-3"/>
              </w:rPr>
              <w:t>т</w:t>
            </w:r>
            <w:r w:rsidRPr="0057475D">
              <w:rPr>
                <w:color w:val="000000"/>
                <w:spacing w:val="-3"/>
              </w:rPr>
              <w:t>ролю та нових технологій  Служби автом</w:t>
            </w:r>
            <w:r w:rsidRPr="0057475D">
              <w:rPr>
                <w:color w:val="000000"/>
                <w:spacing w:val="-3"/>
              </w:rPr>
              <w:t>о</w:t>
            </w:r>
            <w:r w:rsidRPr="0057475D">
              <w:rPr>
                <w:color w:val="000000"/>
                <w:spacing w:val="-3"/>
              </w:rPr>
              <w:t>більних доріг  у Вінницькій області (за згодою)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Гоцуляк 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Володимир Володимирович </w:t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 xml:space="preserve"> керівник Тульчинського ДРП філії «Тульчи</w:t>
            </w:r>
            <w:r w:rsidRPr="0057475D">
              <w:rPr>
                <w:color w:val="000000"/>
                <w:spacing w:val="-3"/>
              </w:rPr>
              <w:t>н</w:t>
            </w:r>
            <w:r w:rsidRPr="0057475D">
              <w:rPr>
                <w:color w:val="000000"/>
                <w:spacing w:val="-3"/>
              </w:rPr>
              <w:t xml:space="preserve">ська ДЕД» (за згодою) 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Кушнір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Богдан Вікторович</w:t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>начальник СР ПП №3 Тульчинського ВП</w:t>
            </w:r>
            <w:r>
              <w:rPr>
                <w:color w:val="000000"/>
                <w:spacing w:val="-3"/>
              </w:rPr>
              <w:t xml:space="preserve"> </w:t>
            </w:r>
            <w:r w:rsidRPr="0057475D">
              <w:rPr>
                <w:color w:val="000000"/>
                <w:spacing w:val="-3"/>
              </w:rPr>
              <w:t>(за зг</w:t>
            </w:r>
            <w:r w:rsidRPr="0057475D">
              <w:rPr>
                <w:color w:val="000000"/>
                <w:spacing w:val="-3"/>
              </w:rPr>
              <w:t>о</w:t>
            </w:r>
            <w:r w:rsidRPr="0057475D">
              <w:rPr>
                <w:color w:val="000000"/>
                <w:spacing w:val="-3"/>
              </w:rPr>
              <w:t>дою)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Маршук 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Алла Валеріївна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 xml:space="preserve"> головний спеціаліст відділу інфраструктури упра</w:t>
            </w:r>
            <w:r w:rsidRPr="0057475D">
              <w:rPr>
                <w:color w:val="000000"/>
                <w:spacing w:val="-3"/>
              </w:rPr>
              <w:t>в</w:t>
            </w:r>
            <w:r w:rsidRPr="0057475D">
              <w:rPr>
                <w:color w:val="000000"/>
                <w:spacing w:val="-3"/>
              </w:rPr>
              <w:t>ління транспорту та інфраструктури Деп</w:t>
            </w:r>
            <w:r w:rsidRPr="0057475D">
              <w:rPr>
                <w:color w:val="000000"/>
                <w:spacing w:val="-3"/>
              </w:rPr>
              <w:t>а</w:t>
            </w:r>
            <w:r w:rsidRPr="0057475D">
              <w:rPr>
                <w:color w:val="000000"/>
                <w:spacing w:val="-3"/>
              </w:rPr>
              <w:t xml:space="preserve">ртаменту ЖКГ, Е та І ОДА (за згодою) 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Тимошенко 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Ігор Володимирович</w:t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>фахівець I-ї категорії  ВОКУ «Служби технічн</w:t>
            </w:r>
            <w:r w:rsidRPr="0057475D">
              <w:rPr>
                <w:color w:val="000000"/>
                <w:spacing w:val="-3"/>
              </w:rPr>
              <w:t>о</w:t>
            </w:r>
            <w:r w:rsidRPr="0057475D">
              <w:rPr>
                <w:color w:val="000000"/>
                <w:spacing w:val="-3"/>
              </w:rPr>
              <w:t>го нагляду за об’єктами житлово-комунального госп</w:t>
            </w:r>
            <w:r w:rsidRPr="0057475D">
              <w:rPr>
                <w:color w:val="000000"/>
                <w:spacing w:val="-3"/>
              </w:rPr>
              <w:t>о</w:t>
            </w:r>
            <w:r w:rsidRPr="0057475D">
              <w:rPr>
                <w:color w:val="000000"/>
                <w:spacing w:val="-3"/>
              </w:rPr>
              <w:t>дарства»   (за згодою)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Жадан 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Микола Володимирович</w:t>
            </w:r>
          </w:p>
          <w:p w:rsidR="00851A6E" w:rsidRPr="0057475D" w:rsidRDefault="00851A6E" w:rsidP="0057475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>головний спеціаліст - юрисконсульт відділу юрид</w:t>
            </w:r>
            <w:r w:rsidRPr="0057475D">
              <w:rPr>
                <w:color w:val="000000"/>
                <w:spacing w:val="-3"/>
              </w:rPr>
              <w:t>и</w:t>
            </w:r>
            <w:r w:rsidRPr="0057475D">
              <w:rPr>
                <w:color w:val="000000"/>
                <w:spacing w:val="-3"/>
              </w:rPr>
              <w:t>чного забезпечення Департаменту ЖКГ, Е та І ОДА (за згодою)</w:t>
            </w:r>
          </w:p>
        </w:tc>
      </w:tr>
      <w:tr w:rsidR="00851A6E" w:rsidRPr="007B0703" w:rsidTr="00C90436">
        <w:tc>
          <w:tcPr>
            <w:tcW w:w="4068" w:type="dxa"/>
          </w:tcPr>
          <w:p w:rsidR="00851A6E" w:rsidRPr="0057475D" w:rsidRDefault="00851A6E" w:rsidP="00C9043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 xml:space="preserve">Кушнір </w:t>
            </w:r>
          </w:p>
          <w:p w:rsidR="00851A6E" w:rsidRPr="0057475D" w:rsidRDefault="00851A6E" w:rsidP="00C9043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7475D">
              <w:rPr>
                <w:b/>
                <w:color w:val="000000"/>
              </w:rPr>
              <w:t>Богдан Вікторович</w:t>
            </w:r>
          </w:p>
        </w:tc>
        <w:tc>
          <w:tcPr>
            <w:tcW w:w="5985" w:type="dxa"/>
          </w:tcPr>
          <w:p w:rsidR="00851A6E" w:rsidRPr="0057475D" w:rsidRDefault="00851A6E" w:rsidP="00C90436">
            <w:pPr>
              <w:jc w:val="both"/>
              <w:rPr>
                <w:color w:val="000000"/>
                <w:spacing w:val="-3"/>
              </w:rPr>
            </w:pPr>
            <w:r w:rsidRPr="0057475D">
              <w:rPr>
                <w:color w:val="000000"/>
                <w:spacing w:val="-3"/>
              </w:rPr>
              <w:t>начальник СР ПП  №3 Тульчинського ВП Немирі</w:t>
            </w:r>
            <w:r w:rsidRPr="0057475D">
              <w:rPr>
                <w:color w:val="000000"/>
                <w:spacing w:val="-3"/>
              </w:rPr>
              <w:t>в</w:t>
            </w:r>
            <w:r w:rsidRPr="0057475D">
              <w:rPr>
                <w:color w:val="000000"/>
                <w:spacing w:val="-3"/>
              </w:rPr>
              <w:t>ського відділу  ГУНП у Вінницькій області (за зг</w:t>
            </w:r>
            <w:r w:rsidRPr="0057475D">
              <w:rPr>
                <w:color w:val="000000"/>
                <w:spacing w:val="-3"/>
              </w:rPr>
              <w:t>о</w:t>
            </w:r>
            <w:r w:rsidRPr="0057475D">
              <w:rPr>
                <w:color w:val="000000"/>
                <w:spacing w:val="-3"/>
              </w:rPr>
              <w:t>дою)</w:t>
            </w:r>
          </w:p>
        </w:tc>
      </w:tr>
    </w:tbl>
    <w:p w:rsidR="00851A6E" w:rsidRPr="007B0703" w:rsidRDefault="00851A6E" w:rsidP="009C0E5A">
      <w:pPr>
        <w:ind w:firstLine="851"/>
        <w:rPr>
          <w:color w:val="000000"/>
        </w:rPr>
      </w:pPr>
    </w:p>
    <w:p w:rsidR="00851A6E" w:rsidRDefault="00851A6E" w:rsidP="009C0E5A">
      <w:pPr>
        <w:ind w:firstLine="851"/>
      </w:pPr>
    </w:p>
    <w:p w:rsidR="00851A6E" w:rsidRDefault="00851A6E" w:rsidP="009C0E5A"/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7668"/>
      </w:tblGrid>
      <w:tr w:rsidR="00851A6E" w:rsidTr="00043240">
        <w:trPr>
          <w:jc w:val="center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6E" w:rsidRDefault="00851A6E" w:rsidP="00043240">
            <w:pPr>
              <w:rPr>
                <w:b/>
                <w:bCs/>
              </w:rPr>
            </w:pPr>
          </w:p>
        </w:tc>
      </w:tr>
    </w:tbl>
    <w:p w:rsidR="00851A6E" w:rsidRDefault="00851A6E" w:rsidP="009C0E5A"/>
    <w:p w:rsidR="00851A6E" w:rsidRDefault="00851A6E" w:rsidP="009C0E5A"/>
    <w:p w:rsidR="00851A6E" w:rsidRDefault="00851A6E" w:rsidP="009C0E5A">
      <w:pPr>
        <w:tabs>
          <w:tab w:val="left" w:pos="4536"/>
        </w:tabs>
        <w:spacing w:line="276" w:lineRule="auto"/>
        <w:rPr>
          <w:b/>
          <w:sz w:val="28"/>
          <w:szCs w:val="28"/>
        </w:rPr>
      </w:pPr>
    </w:p>
    <w:p w:rsidR="00851A6E" w:rsidRDefault="00851A6E" w:rsidP="009C0E5A">
      <w:pPr>
        <w:tabs>
          <w:tab w:val="left" w:pos="4536"/>
        </w:tabs>
        <w:spacing w:line="276" w:lineRule="auto"/>
        <w:rPr>
          <w:b/>
          <w:sz w:val="28"/>
          <w:szCs w:val="28"/>
        </w:rPr>
      </w:pPr>
    </w:p>
    <w:p w:rsidR="00851A6E" w:rsidRDefault="00851A6E" w:rsidP="009C0E5A">
      <w:pPr>
        <w:tabs>
          <w:tab w:val="left" w:pos="4536"/>
        </w:tabs>
        <w:spacing w:line="276" w:lineRule="auto"/>
        <w:rPr>
          <w:b/>
          <w:sz w:val="28"/>
          <w:szCs w:val="28"/>
        </w:rPr>
      </w:pPr>
    </w:p>
    <w:p w:rsidR="00851A6E" w:rsidRDefault="00851A6E" w:rsidP="009C0E5A">
      <w:pPr>
        <w:tabs>
          <w:tab w:val="left" w:pos="4536"/>
        </w:tabs>
        <w:spacing w:line="276" w:lineRule="auto"/>
        <w:rPr>
          <w:b/>
          <w:sz w:val="28"/>
          <w:szCs w:val="28"/>
        </w:rPr>
      </w:pPr>
    </w:p>
    <w:sectPr w:rsidR="00851A6E" w:rsidSect="00601638">
      <w:headerReference w:type="default" r:id="rId9"/>
      <w:pgSz w:w="11906" w:h="16838" w:code="9"/>
      <w:pgMar w:top="568" w:right="707" w:bottom="10" w:left="1418" w:header="794" w:footer="1191" w:gutter="0"/>
      <w:cols w:space="720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6E" w:rsidRDefault="00851A6E">
      <w:r>
        <w:separator/>
      </w:r>
    </w:p>
  </w:endnote>
  <w:endnote w:type="continuationSeparator" w:id="0">
    <w:p w:rsidR="00851A6E" w:rsidRDefault="0085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6E" w:rsidRDefault="00851A6E">
      <w:r>
        <w:separator/>
      </w:r>
    </w:p>
  </w:footnote>
  <w:footnote w:type="continuationSeparator" w:id="0">
    <w:p w:rsidR="00851A6E" w:rsidRDefault="0085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6E" w:rsidRDefault="00851A6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1A6E" w:rsidRDefault="00851A6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C32"/>
    <w:multiLevelType w:val="hybridMultilevel"/>
    <w:tmpl w:val="A1D4BC66"/>
    <w:lvl w:ilvl="0" w:tplc="75CA5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hyphenationZone w:val="357"/>
  <w:doNotHyphenateCaps/>
  <w:drawingGridHorizontalSpacing w:val="195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C6"/>
    <w:rsid w:val="000025E8"/>
    <w:rsid w:val="000178A2"/>
    <w:rsid w:val="00025E03"/>
    <w:rsid w:val="00043240"/>
    <w:rsid w:val="00067B32"/>
    <w:rsid w:val="00072DF0"/>
    <w:rsid w:val="00075700"/>
    <w:rsid w:val="000931DC"/>
    <w:rsid w:val="000B6ABC"/>
    <w:rsid w:val="000D1713"/>
    <w:rsid w:val="000D3BED"/>
    <w:rsid w:val="000D628B"/>
    <w:rsid w:val="000D6B63"/>
    <w:rsid w:val="00124563"/>
    <w:rsid w:val="00175278"/>
    <w:rsid w:val="00191A19"/>
    <w:rsid w:val="001B2734"/>
    <w:rsid w:val="001B7C6E"/>
    <w:rsid w:val="001D54D9"/>
    <w:rsid w:val="00233D69"/>
    <w:rsid w:val="002377B6"/>
    <w:rsid w:val="002617E1"/>
    <w:rsid w:val="002637EB"/>
    <w:rsid w:val="002A2E6F"/>
    <w:rsid w:val="002B0624"/>
    <w:rsid w:val="002C5509"/>
    <w:rsid w:val="002C6487"/>
    <w:rsid w:val="002D0601"/>
    <w:rsid w:val="002D7A6A"/>
    <w:rsid w:val="002F2E42"/>
    <w:rsid w:val="00313473"/>
    <w:rsid w:val="00325494"/>
    <w:rsid w:val="0033322E"/>
    <w:rsid w:val="00340140"/>
    <w:rsid w:val="00343354"/>
    <w:rsid w:val="00354342"/>
    <w:rsid w:val="00354F7E"/>
    <w:rsid w:val="003762E9"/>
    <w:rsid w:val="00376A83"/>
    <w:rsid w:val="00377211"/>
    <w:rsid w:val="003802F9"/>
    <w:rsid w:val="00397C3E"/>
    <w:rsid w:val="003A3BC3"/>
    <w:rsid w:val="003A59AA"/>
    <w:rsid w:val="003C1AA3"/>
    <w:rsid w:val="003E1A8D"/>
    <w:rsid w:val="004756C8"/>
    <w:rsid w:val="00485FE5"/>
    <w:rsid w:val="00494389"/>
    <w:rsid w:val="004D0470"/>
    <w:rsid w:val="004D53A6"/>
    <w:rsid w:val="004E31DC"/>
    <w:rsid w:val="004F4995"/>
    <w:rsid w:val="004F578C"/>
    <w:rsid w:val="004F5885"/>
    <w:rsid w:val="00562E2E"/>
    <w:rsid w:val="0057475D"/>
    <w:rsid w:val="00593F1E"/>
    <w:rsid w:val="005D0CEB"/>
    <w:rsid w:val="00601638"/>
    <w:rsid w:val="00614512"/>
    <w:rsid w:val="00631237"/>
    <w:rsid w:val="00635B11"/>
    <w:rsid w:val="0065189F"/>
    <w:rsid w:val="0066085A"/>
    <w:rsid w:val="00661ECA"/>
    <w:rsid w:val="00665E03"/>
    <w:rsid w:val="006D6019"/>
    <w:rsid w:val="006F13D0"/>
    <w:rsid w:val="006F3EBB"/>
    <w:rsid w:val="006F4746"/>
    <w:rsid w:val="00707CCB"/>
    <w:rsid w:val="00747529"/>
    <w:rsid w:val="00764AEF"/>
    <w:rsid w:val="007B0703"/>
    <w:rsid w:val="007B0EDD"/>
    <w:rsid w:val="007D1423"/>
    <w:rsid w:val="007D32E5"/>
    <w:rsid w:val="008125B1"/>
    <w:rsid w:val="00834798"/>
    <w:rsid w:val="00836786"/>
    <w:rsid w:val="00851A6E"/>
    <w:rsid w:val="00852E23"/>
    <w:rsid w:val="0087230B"/>
    <w:rsid w:val="008A4F84"/>
    <w:rsid w:val="008E036D"/>
    <w:rsid w:val="008F1A74"/>
    <w:rsid w:val="00911921"/>
    <w:rsid w:val="009134EF"/>
    <w:rsid w:val="00917467"/>
    <w:rsid w:val="00931D64"/>
    <w:rsid w:val="009709A0"/>
    <w:rsid w:val="009C0E5A"/>
    <w:rsid w:val="009C15BA"/>
    <w:rsid w:val="00A01C75"/>
    <w:rsid w:val="00A274DE"/>
    <w:rsid w:val="00A47A99"/>
    <w:rsid w:val="00AD1335"/>
    <w:rsid w:val="00AE27CB"/>
    <w:rsid w:val="00AE63FC"/>
    <w:rsid w:val="00BB6975"/>
    <w:rsid w:val="00BF163C"/>
    <w:rsid w:val="00BF677D"/>
    <w:rsid w:val="00C04027"/>
    <w:rsid w:val="00C217C6"/>
    <w:rsid w:val="00C53F73"/>
    <w:rsid w:val="00C701F1"/>
    <w:rsid w:val="00C90436"/>
    <w:rsid w:val="00CC69CA"/>
    <w:rsid w:val="00CD51AC"/>
    <w:rsid w:val="00CF03E2"/>
    <w:rsid w:val="00D14675"/>
    <w:rsid w:val="00D20FCB"/>
    <w:rsid w:val="00D278F7"/>
    <w:rsid w:val="00D338E4"/>
    <w:rsid w:val="00D47A1D"/>
    <w:rsid w:val="00D54EF6"/>
    <w:rsid w:val="00D615B3"/>
    <w:rsid w:val="00D70735"/>
    <w:rsid w:val="00DC20C8"/>
    <w:rsid w:val="00DC3551"/>
    <w:rsid w:val="00DD12E4"/>
    <w:rsid w:val="00DE23E4"/>
    <w:rsid w:val="00DE3BC7"/>
    <w:rsid w:val="00DF350D"/>
    <w:rsid w:val="00DF7412"/>
    <w:rsid w:val="00E26F9C"/>
    <w:rsid w:val="00E71DF9"/>
    <w:rsid w:val="00EC5FF7"/>
    <w:rsid w:val="00EE4083"/>
    <w:rsid w:val="00F34DEA"/>
    <w:rsid w:val="00F37E1D"/>
    <w:rsid w:val="00F61821"/>
    <w:rsid w:val="00F718B2"/>
    <w:rsid w:val="00F71F70"/>
    <w:rsid w:val="00FB17D4"/>
    <w:rsid w:val="00FB7D07"/>
    <w:rsid w:val="00FC57E4"/>
    <w:rsid w:val="00FD2313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19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A19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A1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A19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322E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A19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A19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1A19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22E"/>
    <w:rPr>
      <w:rFonts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91A19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A19"/>
    <w:rPr>
      <w:rFonts w:ascii="Tahoma" w:hAnsi="Tahoma" w:cs="Tahoma"/>
      <w:sz w:val="16"/>
      <w:szCs w:val="16"/>
      <w:lang w:val="uk-UA"/>
    </w:rPr>
  </w:style>
  <w:style w:type="paragraph" w:styleId="Index1">
    <w:name w:val="index 1"/>
    <w:basedOn w:val="Normal"/>
    <w:next w:val="Normal"/>
    <w:autoRedefine/>
    <w:uiPriority w:val="99"/>
    <w:rsid w:val="00191A19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191A19"/>
  </w:style>
  <w:style w:type="paragraph" w:styleId="BlockText">
    <w:name w:val="Block Text"/>
    <w:basedOn w:val="Normal"/>
    <w:uiPriority w:val="99"/>
    <w:rsid w:val="00191A19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191A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A19"/>
    <w:rPr>
      <w:rFonts w:cs="Times New Roman"/>
      <w:sz w:val="26"/>
      <w:szCs w:val="26"/>
      <w:lang w:val="uk-UA"/>
    </w:rPr>
  </w:style>
  <w:style w:type="character" w:styleId="PageNumber">
    <w:name w:val="page number"/>
    <w:basedOn w:val="DefaultParagraphFont"/>
    <w:uiPriority w:val="99"/>
    <w:rsid w:val="00191A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A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A19"/>
    <w:rPr>
      <w:rFonts w:cs="Times New Roman"/>
      <w:sz w:val="26"/>
      <w:szCs w:val="26"/>
      <w:lang w:val="uk-UA"/>
    </w:rPr>
  </w:style>
  <w:style w:type="character" w:styleId="Hyperlink">
    <w:name w:val="Hyperlink"/>
    <w:basedOn w:val="DefaultParagraphFont"/>
    <w:uiPriority w:val="99"/>
    <w:rsid w:val="00191A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1A1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4F578C"/>
    <w:pPr>
      <w:autoSpaceDE w:val="0"/>
      <w:autoSpaceDN w:val="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1A19"/>
    <w:rPr>
      <w:rFonts w:cs="Times New Roman"/>
      <w:sz w:val="26"/>
      <w:szCs w:val="26"/>
      <w:lang w:val="uk-UA"/>
    </w:rPr>
  </w:style>
  <w:style w:type="paragraph" w:styleId="BodyText3">
    <w:name w:val="Body Text 3"/>
    <w:basedOn w:val="Normal"/>
    <w:link w:val="BodyText3Char"/>
    <w:uiPriority w:val="99"/>
    <w:rsid w:val="0087230B"/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1A19"/>
    <w:rPr>
      <w:rFonts w:cs="Times New Roman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764A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4AEF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D278F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C0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</Pages>
  <Words>441</Words>
  <Characters>2518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Admin</cp:lastModifiedBy>
  <cp:revision>20</cp:revision>
  <cp:lastPrinted>2017-11-06T14:37:00Z</cp:lastPrinted>
  <dcterms:created xsi:type="dcterms:W3CDTF">2014-02-19T07:27:00Z</dcterms:created>
  <dcterms:modified xsi:type="dcterms:W3CDTF">2017-11-07T06:33:00Z</dcterms:modified>
</cp:coreProperties>
</file>