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4" w:rsidRDefault="00A947E4" w:rsidP="00A947E4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65AF5" w:rsidRPr="00AE3FC6" w:rsidRDefault="00A65AF5" w:rsidP="00A65AF5">
      <w:pPr>
        <w:ind w:left="6379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r>
        <w:rPr>
          <w:sz w:val="24"/>
        </w:rPr>
        <w:t>Головного територіального управління юстиції у Вінницькій області від</w:t>
      </w:r>
      <w:r w:rsidR="001D1647">
        <w:rPr>
          <w:sz w:val="24"/>
          <w:lang w:val="ru-RU"/>
        </w:rPr>
        <w:t xml:space="preserve"> 27</w:t>
      </w:r>
      <w:r w:rsidR="001D1647">
        <w:rPr>
          <w:sz w:val="24"/>
        </w:rPr>
        <w:t>.</w:t>
      </w:r>
      <w:r w:rsidR="001D1647">
        <w:rPr>
          <w:sz w:val="24"/>
          <w:lang w:val="ru-RU"/>
        </w:rPr>
        <w:t>07.</w:t>
      </w:r>
      <w:r>
        <w:rPr>
          <w:sz w:val="24"/>
          <w:lang w:val="ru-RU"/>
        </w:rPr>
        <w:t>2017</w:t>
      </w:r>
      <w:r w:rsidR="004947DD">
        <w:rPr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 w:rsidR="00916C7C">
        <w:rPr>
          <w:sz w:val="24"/>
          <w:lang w:val="ru-RU"/>
        </w:rPr>
        <w:t xml:space="preserve"> 156/7</w:t>
      </w:r>
      <w:bookmarkStart w:id="0" w:name="_GoBack"/>
      <w:bookmarkEnd w:id="0"/>
    </w:p>
    <w:p w:rsidR="00A65AF5" w:rsidRDefault="00A65AF5" w:rsidP="00A65AF5">
      <w:pPr>
        <w:ind w:left="6379"/>
        <w:jc w:val="left"/>
        <w:rPr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 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45552F">
        <w:rPr>
          <w:b/>
          <w:sz w:val="24"/>
          <w:szCs w:val="24"/>
          <w:lang w:eastAsia="uk-UA"/>
        </w:rPr>
        <w:t xml:space="preserve">змін до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A65AF5" w:rsidRPr="007646EF" w:rsidRDefault="00A65AF5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65AF5" w:rsidRPr="00D62609" w:rsidRDefault="00A65AF5" w:rsidP="00A65AF5">
      <w:pPr>
        <w:ind w:firstLine="709"/>
        <w:rPr>
          <w:sz w:val="24"/>
        </w:rPr>
      </w:pPr>
      <w:r>
        <w:rPr>
          <w:sz w:val="24"/>
        </w:rPr>
        <w:t>Головне територіальне управління юстиції у Вінницькій області / Центри надання адміністративних послуг Вінниц</w:t>
      </w:r>
      <w:r w:rsidR="004947DD">
        <w:rPr>
          <w:sz w:val="24"/>
        </w:rPr>
        <w:t>ької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D6FDE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C2483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м. Вінниця, вул. Хмельницьке шосе, 7, </w:t>
            </w:r>
          </w:p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місцезнаходження відповідного центру,</w:t>
            </w:r>
          </w:p>
          <w:p w:rsidR="00605DB1" w:rsidRPr="00D76C29" w:rsidRDefault="00605DB1" w:rsidP="00A65AF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AF5" w:rsidRPr="00AE3FC6" w:rsidRDefault="00A65AF5" w:rsidP="00A65AF5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 </w:t>
            </w:r>
          </w:p>
          <w:p w:rsidR="00A65AF5" w:rsidRPr="00AE3FC6" w:rsidRDefault="00A65AF5" w:rsidP="00A65AF5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З понеділка по четвер з 09.00 до 18.00,</w:t>
            </w:r>
          </w:p>
          <w:p w:rsidR="00A65AF5" w:rsidRPr="00AE3FC6" w:rsidRDefault="00A65AF5" w:rsidP="00A65AF5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п’ятниця з 09.00 до 16.45</w:t>
            </w:r>
          </w:p>
          <w:p w:rsidR="00A65AF5" w:rsidRPr="00AE3FC6" w:rsidRDefault="00A65AF5" w:rsidP="00A65AF5">
            <w:pPr>
              <w:rPr>
                <w:sz w:val="24"/>
              </w:rPr>
            </w:pPr>
            <w:r w:rsidRPr="00AE3FC6">
              <w:rPr>
                <w:sz w:val="24"/>
              </w:rPr>
              <w:t xml:space="preserve"> обідня перерва з 13.00 до 13.45</w:t>
            </w:r>
          </w:p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згідно режиму роботи відповідного центру</w:t>
            </w:r>
          </w:p>
          <w:p w:rsidR="00605DB1" w:rsidRPr="00D76C29" w:rsidRDefault="00605DB1" w:rsidP="00A65AF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Головне територіальне управління юстиції у Вінницькій області: телефон/факс (довідки):0432-66-11-74, 0432-66-11-76</w:t>
            </w:r>
          </w:p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Адреса електронної пошти: </w:t>
            </w:r>
            <w:hyperlink r:id="rId6">
              <w:r w:rsidRPr="00AE3FC6">
                <w:rPr>
                  <w:rFonts w:ascii="Arial" w:eastAsia="Arial" w:hAnsi="Arial" w:cs="Arial"/>
                  <w:color w:val="F02624"/>
                  <w:sz w:val="18"/>
                  <w:u w:val="single"/>
                  <w:shd w:val="clear" w:color="auto" w:fill="FFFFFF"/>
                </w:rPr>
                <w:t>info@vn.minjust.gov.ua</w:t>
              </w:r>
            </w:hyperlink>
          </w:p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веб-сайт: </w:t>
            </w:r>
            <w:hyperlink r:id="rId7">
              <w:r w:rsidRPr="00AE3FC6">
                <w:rPr>
                  <w:color w:val="0000FF"/>
                  <w:sz w:val="24"/>
                  <w:u w:val="single"/>
                </w:rPr>
                <w:t>http://vinjust.gov.ua/</w:t>
              </w:r>
            </w:hyperlink>
          </w:p>
          <w:p w:rsidR="00A65AF5" w:rsidRPr="00AE3FC6" w:rsidRDefault="00A65AF5" w:rsidP="00A65AF5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телефон/факс (довідки), адреса електронної пошти та веб-сайт відповідного центру</w:t>
            </w:r>
          </w:p>
          <w:p w:rsidR="00605DB1" w:rsidRPr="00D76C29" w:rsidRDefault="00605DB1" w:rsidP="00A65AF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BE3D40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3C7F7A">
              <w:rPr>
                <w:sz w:val="24"/>
                <w:szCs w:val="24"/>
                <w:lang w:eastAsia="uk-UA"/>
              </w:rPr>
              <w:t xml:space="preserve">змін до </w:t>
            </w:r>
            <w:r w:rsidR="00396314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396314" w:rsidRPr="00396314" w:rsidRDefault="00396314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 w:rsidR="00DB606D"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6314" w:rsidRPr="00396314" w:rsidRDefault="00396314" w:rsidP="00CC5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  <w:lang w:eastAsia="uk-UA"/>
              </w:rPr>
              <w:t xml:space="preserve">рішення  представницького  органу місцевого самоврядування </w:t>
            </w:r>
            <w:r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про затвердження 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змін до </w:t>
            </w:r>
            <w:r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  <w:r w:rsidR="000501F4"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AC3886" w:rsidRPr="00D76C29" w:rsidRDefault="000B670F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4" w:name="o19"/>
            <w:bookmarkEnd w:id="4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 органу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>рийнято рішення про реєстрацію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змін до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>статуту</w:t>
            </w:r>
            <w:r w:rsidR="003C7F7A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</w:p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2C49F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052047" w:rsidP="002C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886" w:rsidRPr="00D76C29">
              <w:rPr>
                <w:sz w:val="24"/>
                <w:szCs w:val="24"/>
              </w:rPr>
              <w:t>окументи подаються заявником особ</w:t>
            </w:r>
            <w:r w:rsidR="00125B23">
              <w:rPr>
                <w:sz w:val="24"/>
                <w:szCs w:val="24"/>
              </w:rPr>
              <w:t>исто або поштовим відправленням</w:t>
            </w:r>
            <w:r w:rsidR="00BE6A2D">
              <w:rPr>
                <w:sz w:val="24"/>
                <w:szCs w:val="24"/>
              </w:rPr>
              <w:t xml:space="preserve"> </w:t>
            </w:r>
            <w:r w:rsidR="00BE6A2D"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AC3886" w:rsidP="00BE6A2D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Державна реєстрація </w:t>
            </w:r>
            <w:r w:rsidR="005E7FC0">
              <w:rPr>
                <w:sz w:val="24"/>
                <w:szCs w:val="24"/>
                <w:lang w:eastAsia="uk-UA"/>
              </w:rPr>
              <w:t xml:space="preserve">змін до статуту територіальної громади </w:t>
            </w:r>
            <w:r w:rsidRPr="00D76C29">
              <w:rPr>
                <w:sz w:val="24"/>
                <w:szCs w:val="24"/>
                <w:lang w:eastAsia="uk-UA"/>
              </w:rPr>
              <w:t xml:space="preserve">проводиться за відсутності підстав </w:t>
            </w:r>
            <w:r w:rsidR="00956ADF">
              <w:rPr>
                <w:sz w:val="24"/>
                <w:szCs w:val="24"/>
                <w:lang w:eastAsia="uk-UA"/>
              </w:rPr>
              <w:t xml:space="preserve">для </w:t>
            </w:r>
            <w:r w:rsidRPr="00D76C29">
              <w:rPr>
                <w:sz w:val="24"/>
                <w:szCs w:val="24"/>
                <w:lang w:eastAsia="uk-UA"/>
              </w:rPr>
              <w:t>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125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BF431B" w:rsidP="00BE6A2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C49FF" w:rsidRDefault="009A037C" w:rsidP="002C49F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2C49F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0B670F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4C38F0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EA7A72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свідоцтво про державну реєстрацію статуту територіальної громади;</w:t>
            </w:r>
          </w:p>
          <w:p w:rsidR="0055478C" w:rsidRDefault="0055478C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0B670F" w:rsidRPr="000B670F" w:rsidRDefault="00EA7A72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 про державну реєстрацію змін до статуту територіальної громади</w:t>
            </w:r>
            <w:r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DB606D" w:rsidRPr="0052633B" w:rsidRDefault="0052633B" w:rsidP="000B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 w:rsidR="002A18D9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BE6A2D">
              <w:rPr>
                <w:sz w:val="24"/>
                <w:szCs w:val="24"/>
                <w:lang w:eastAsia="uk-UA"/>
              </w:rPr>
              <w:t xml:space="preserve"> змін до 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BE6A2D" w:rsidRDefault="00EA7A72" w:rsidP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документів здійснюється через центр надання адміністративних послуг</w:t>
            </w:r>
          </w:p>
        </w:tc>
      </w:tr>
    </w:tbl>
    <w:p w:rsidR="008D5C0C" w:rsidRPr="00CC5020" w:rsidRDefault="008D5C0C" w:rsidP="002C49FF">
      <w:pPr>
        <w:rPr>
          <w:sz w:val="6"/>
          <w:szCs w:val="6"/>
          <w:lang w:val="ru-RU"/>
        </w:rPr>
      </w:pPr>
      <w:bookmarkStart w:id="6" w:name="n43"/>
      <w:bookmarkEnd w:id="6"/>
    </w:p>
    <w:p w:rsidR="00D512B9" w:rsidRPr="00D76C29" w:rsidRDefault="00D512B9" w:rsidP="005D0BC1">
      <w:pPr>
        <w:spacing w:after="120"/>
        <w:rPr>
          <w:sz w:val="20"/>
          <w:szCs w:val="20"/>
        </w:rPr>
      </w:pPr>
    </w:p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8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E7" w:rsidRDefault="00D702E7">
      <w:r>
        <w:separator/>
      </w:r>
    </w:p>
  </w:endnote>
  <w:endnote w:type="continuationSeparator" w:id="0">
    <w:p w:rsidR="00D702E7" w:rsidRDefault="00D7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E7" w:rsidRDefault="00D702E7">
      <w:r>
        <w:separator/>
      </w:r>
    </w:p>
  </w:footnote>
  <w:footnote w:type="continuationSeparator" w:id="0">
    <w:p w:rsidR="00D702E7" w:rsidRDefault="00D7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916C7C" w:rsidRPr="00916C7C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52047"/>
    <w:rsid w:val="000B670F"/>
    <w:rsid w:val="000C6DD1"/>
    <w:rsid w:val="000D6D83"/>
    <w:rsid w:val="000D7F89"/>
    <w:rsid w:val="00125B23"/>
    <w:rsid w:val="0013382C"/>
    <w:rsid w:val="00153647"/>
    <w:rsid w:val="00161DF8"/>
    <w:rsid w:val="00184BB5"/>
    <w:rsid w:val="00184C8C"/>
    <w:rsid w:val="001B0749"/>
    <w:rsid w:val="001B345C"/>
    <w:rsid w:val="001D1647"/>
    <w:rsid w:val="001D679E"/>
    <w:rsid w:val="002079DD"/>
    <w:rsid w:val="00246DBC"/>
    <w:rsid w:val="00262D99"/>
    <w:rsid w:val="002A18D9"/>
    <w:rsid w:val="002A496D"/>
    <w:rsid w:val="002C49FF"/>
    <w:rsid w:val="002D4719"/>
    <w:rsid w:val="0033489E"/>
    <w:rsid w:val="00372F6B"/>
    <w:rsid w:val="00396314"/>
    <w:rsid w:val="003C7F7A"/>
    <w:rsid w:val="003F3305"/>
    <w:rsid w:val="00424A4A"/>
    <w:rsid w:val="0042643B"/>
    <w:rsid w:val="0044324F"/>
    <w:rsid w:val="0045552F"/>
    <w:rsid w:val="00460E6C"/>
    <w:rsid w:val="004947DD"/>
    <w:rsid w:val="004B42AC"/>
    <w:rsid w:val="004C38F0"/>
    <w:rsid w:val="004F547B"/>
    <w:rsid w:val="0052271C"/>
    <w:rsid w:val="0052633B"/>
    <w:rsid w:val="00530AE2"/>
    <w:rsid w:val="005316A9"/>
    <w:rsid w:val="0055478C"/>
    <w:rsid w:val="00586BB0"/>
    <w:rsid w:val="00593D02"/>
    <w:rsid w:val="005D0BC1"/>
    <w:rsid w:val="005D58EA"/>
    <w:rsid w:val="005E7FC0"/>
    <w:rsid w:val="00605DB1"/>
    <w:rsid w:val="0061775A"/>
    <w:rsid w:val="006245A0"/>
    <w:rsid w:val="00647472"/>
    <w:rsid w:val="006765E8"/>
    <w:rsid w:val="006C04E6"/>
    <w:rsid w:val="006F3722"/>
    <w:rsid w:val="00707A52"/>
    <w:rsid w:val="0072163C"/>
    <w:rsid w:val="007646EF"/>
    <w:rsid w:val="0077512A"/>
    <w:rsid w:val="0078294A"/>
    <w:rsid w:val="007F7D98"/>
    <w:rsid w:val="00820B6D"/>
    <w:rsid w:val="00836CD2"/>
    <w:rsid w:val="008C7D82"/>
    <w:rsid w:val="008D1ADD"/>
    <w:rsid w:val="008D5C0C"/>
    <w:rsid w:val="008E40C3"/>
    <w:rsid w:val="008F568E"/>
    <w:rsid w:val="00916C7C"/>
    <w:rsid w:val="00950031"/>
    <w:rsid w:val="00956ADF"/>
    <w:rsid w:val="009664FB"/>
    <w:rsid w:val="00997861"/>
    <w:rsid w:val="009A037C"/>
    <w:rsid w:val="009E0581"/>
    <w:rsid w:val="00A65AF5"/>
    <w:rsid w:val="00A71278"/>
    <w:rsid w:val="00A771A1"/>
    <w:rsid w:val="00A80983"/>
    <w:rsid w:val="00A84281"/>
    <w:rsid w:val="00A851E2"/>
    <w:rsid w:val="00A947E4"/>
    <w:rsid w:val="00AA170B"/>
    <w:rsid w:val="00AC0F35"/>
    <w:rsid w:val="00AC3886"/>
    <w:rsid w:val="00AD4456"/>
    <w:rsid w:val="00AF660F"/>
    <w:rsid w:val="00B22FA0"/>
    <w:rsid w:val="00B54254"/>
    <w:rsid w:val="00B555A2"/>
    <w:rsid w:val="00BB06FD"/>
    <w:rsid w:val="00BB5161"/>
    <w:rsid w:val="00BE3D40"/>
    <w:rsid w:val="00BE6A2D"/>
    <w:rsid w:val="00BF431B"/>
    <w:rsid w:val="00BF644E"/>
    <w:rsid w:val="00C06F02"/>
    <w:rsid w:val="00C23B57"/>
    <w:rsid w:val="00C2483B"/>
    <w:rsid w:val="00C33A24"/>
    <w:rsid w:val="00C36C08"/>
    <w:rsid w:val="00C70B27"/>
    <w:rsid w:val="00C902E8"/>
    <w:rsid w:val="00C95909"/>
    <w:rsid w:val="00CB6F81"/>
    <w:rsid w:val="00CC5020"/>
    <w:rsid w:val="00CD416B"/>
    <w:rsid w:val="00D212F0"/>
    <w:rsid w:val="00D2269E"/>
    <w:rsid w:val="00D512B9"/>
    <w:rsid w:val="00D51737"/>
    <w:rsid w:val="00D57F69"/>
    <w:rsid w:val="00D702E7"/>
    <w:rsid w:val="00D76C29"/>
    <w:rsid w:val="00D9209C"/>
    <w:rsid w:val="00D92E0A"/>
    <w:rsid w:val="00D96906"/>
    <w:rsid w:val="00DB606D"/>
    <w:rsid w:val="00DC2A9F"/>
    <w:rsid w:val="00DD003D"/>
    <w:rsid w:val="00E1567D"/>
    <w:rsid w:val="00E62EA3"/>
    <w:rsid w:val="00E73ED2"/>
    <w:rsid w:val="00EA7A72"/>
    <w:rsid w:val="00ED6FDE"/>
    <w:rsid w:val="00EF1D3B"/>
    <w:rsid w:val="00F03964"/>
    <w:rsid w:val="00F03E60"/>
    <w:rsid w:val="00F579DA"/>
    <w:rsid w:val="00F661B7"/>
    <w:rsid w:val="00F97A03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F3D49-C93D-4D9E-8F96-41932F8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injus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n.minjust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Admin</cp:lastModifiedBy>
  <cp:revision>65</cp:revision>
  <cp:lastPrinted>2017-07-27T08:43:00Z</cp:lastPrinted>
  <dcterms:created xsi:type="dcterms:W3CDTF">2016-06-19T12:28:00Z</dcterms:created>
  <dcterms:modified xsi:type="dcterms:W3CDTF">2017-07-28T06:47:00Z</dcterms:modified>
</cp:coreProperties>
</file>