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1" w:rsidRPr="008857EA" w:rsidRDefault="008A5A61" w:rsidP="008857EA">
      <w:pPr>
        <w:jc w:val="right"/>
        <w:rPr>
          <w:b/>
        </w:rPr>
      </w:pPr>
      <w:r>
        <w:rPr>
          <w:b/>
        </w:rPr>
        <w:t xml:space="preserve">   </w:t>
      </w:r>
    </w:p>
    <w:p w:rsidR="008A5A61" w:rsidRDefault="008A5A61" w:rsidP="00EC4D75">
      <w:pPr>
        <w:framePr w:w="1365" w:hSpace="141" w:wrap="auto" w:vAnchor="text" w:hAnchor="page" w:x="5224" w:y="69"/>
        <w:ind w:left="-4485" w:right="-4485"/>
        <w:jc w:val="center"/>
      </w:pPr>
      <w:r w:rsidRPr="00D84542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o:ole="" fillcolor="window">
            <v:imagedata r:id="rId7" o:title=""/>
          </v:shape>
          <o:OLEObject Type="Embed" ProgID="Word.Picture.8" ShapeID="_x0000_i1025" DrawAspect="Content" ObjectID="_1468649237" r:id="rId8"/>
        </w:object>
      </w:r>
    </w:p>
    <w:p w:rsidR="008A5A61" w:rsidRDefault="008A5A61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8A5A61" w:rsidRDefault="008A5A61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8A5A61" w:rsidRDefault="008A5A61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8A5A61" w:rsidRDefault="008A5A61">
      <w:pPr>
        <w:pStyle w:val="Heading1"/>
        <w:rPr>
          <w:rFonts w:ascii="Arial" w:hAnsi="Arial" w:cs="Arial"/>
        </w:rPr>
      </w:pPr>
    </w:p>
    <w:p w:rsidR="008A5A61" w:rsidRDefault="008A5A61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8A5A61" w:rsidRDefault="008A5A61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8A5A61" w:rsidRDefault="008A5A6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Вінницької  області</w:t>
      </w:r>
    </w:p>
    <w:p w:rsidR="008A5A61" w:rsidRDefault="008A5A61">
      <w:pPr>
        <w:rPr>
          <w:rFonts w:ascii="Arial" w:hAnsi="Arial" w:cs="Arial"/>
          <w:b/>
          <w:bCs/>
        </w:rPr>
      </w:pPr>
      <w:r>
        <w:rPr>
          <w:noProof/>
          <w:lang w:val="ru-RU"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8A5A61" w:rsidRDefault="008A5A6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РОЗПОРЯДЖЕННЯ</w:t>
      </w:r>
    </w:p>
    <w:p w:rsidR="008A5A61" w:rsidRDefault="008A5A61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498" w:type="dxa"/>
        <w:tblLayout w:type="fixed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8A5A61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A5A61" w:rsidRDefault="008A5A61">
            <w:pPr>
              <w:ind w:right="-108"/>
              <w:jc w:val="center"/>
            </w:pPr>
            <w: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A61" w:rsidRPr="004E7DB9" w:rsidRDefault="008A5A61">
            <w:pPr>
              <w:ind w:left="-2" w:right="-78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A5A61" w:rsidRDefault="008A5A61">
            <w:pPr>
              <w:ind w:left="-108" w:right="-108"/>
            </w:pPr>
            <w: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A61" w:rsidRPr="004E7DB9" w:rsidRDefault="008A5A61">
            <w:pPr>
              <w:jc w:val="center"/>
            </w:pPr>
            <w:r>
              <w:t>липня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8A5A61" w:rsidRDefault="008A5A61">
            <w:pPr>
              <w:ind w:left="-108"/>
            </w:pPr>
            <w:r>
              <w:t>2014 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8A5A61" w:rsidRDefault="008A5A61">
            <w:pPr>
              <w:jc w:val="right"/>
            </w:pPr>
            <w: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5A61" w:rsidRDefault="008A5A61">
            <w:pPr>
              <w:ind w:right="-108"/>
            </w:pPr>
            <w:r>
              <w:t>223-р</w:t>
            </w:r>
          </w:p>
        </w:tc>
      </w:tr>
    </w:tbl>
    <w:p w:rsidR="008A5A61" w:rsidRDefault="008A5A61">
      <w:pPr>
        <w:jc w:val="center"/>
      </w:pPr>
    </w:p>
    <w:p w:rsidR="008A5A61" w:rsidRDefault="008A5A61" w:rsidP="00BE127C">
      <w:pPr>
        <w:spacing w:line="276" w:lineRule="auto"/>
        <w:ind w:firstLine="709"/>
        <w:jc w:val="both"/>
      </w:pPr>
    </w:p>
    <w:p w:rsidR="008A5A61" w:rsidRDefault="008A5A61" w:rsidP="008857EA">
      <w:pPr>
        <w:jc w:val="center"/>
        <w:rPr>
          <w:b/>
        </w:rPr>
      </w:pPr>
      <w:r>
        <w:rPr>
          <w:b/>
        </w:rPr>
        <w:t>Про</w:t>
      </w:r>
      <w:r w:rsidRPr="00736430">
        <w:rPr>
          <w:b/>
        </w:rPr>
        <w:t xml:space="preserve"> </w:t>
      </w:r>
      <w:r>
        <w:rPr>
          <w:b/>
        </w:rPr>
        <w:t>впровадження заходів з енергоефективності та енергозбереження</w:t>
      </w:r>
    </w:p>
    <w:p w:rsidR="008A5A61" w:rsidRDefault="008A5A61" w:rsidP="008857EA">
      <w:pPr>
        <w:jc w:val="center"/>
        <w:rPr>
          <w:b/>
        </w:rPr>
      </w:pPr>
      <w:r>
        <w:rPr>
          <w:b/>
        </w:rPr>
        <w:t>в закладах бюджетної сфери району</w:t>
      </w:r>
    </w:p>
    <w:p w:rsidR="008A5A61" w:rsidRDefault="008A5A61" w:rsidP="008857EA">
      <w:pPr>
        <w:jc w:val="both"/>
        <w:rPr>
          <w:b/>
        </w:rPr>
      </w:pPr>
    </w:p>
    <w:p w:rsidR="008A5A61" w:rsidRPr="00205222" w:rsidRDefault="008A5A61" w:rsidP="008857EA">
      <w:pPr>
        <w:ind w:firstLine="720"/>
        <w:jc w:val="both"/>
        <w:rPr>
          <w:bCs/>
        </w:rPr>
      </w:pPr>
      <w:r>
        <w:t>Відповідно до ст. 21  Закону України</w:t>
      </w:r>
      <w:r w:rsidRPr="00205222">
        <w:t xml:space="preserve"> “Про місцеві державні адміністрації”, розпорядження Кабінету Міністрів України від 24 липня 2013 року № 669-р “Про затвердження плану заходів щодо виконання регіональних та місцевих програм підвищення енергоефективності”, </w:t>
      </w:r>
      <w:r w:rsidRPr="00205222">
        <w:rPr>
          <w:color w:val="000000"/>
        </w:rPr>
        <w:t xml:space="preserve">з метою </w:t>
      </w:r>
      <w:r w:rsidRPr="00205222">
        <w:t xml:space="preserve">економії споживання природного газу на потреби теплозабезпечення закладів бюджетної сфери, відповідного скорочення бюджетних видатків на потреби енергоспоживання, збільшення обсягів використання місцевих видів палива та виконання планових показників </w:t>
      </w:r>
      <w:r w:rsidRPr="00205222">
        <w:rPr>
          <w:bCs/>
        </w:rPr>
        <w:t>Програми</w:t>
      </w:r>
      <w:r>
        <w:rPr>
          <w:bCs/>
        </w:rPr>
        <w:t xml:space="preserve"> енергозбереження у Тульчинському районі на 2014-2017 роки</w:t>
      </w:r>
      <w:r w:rsidRPr="00205222">
        <w:rPr>
          <w:bCs/>
        </w:rPr>
        <w:t xml:space="preserve">, затвердженої рішенням </w:t>
      </w:r>
      <w:r>
        <w:rPr>
          <w:bCs/>
        </w:rPr>
        <w:t>26 сесії 6 скликання від 12 червня 2014 року  Тульчинської районної ради №523</w:t>
      </w:r>
      <w:r w:rsidRPr="00205222">
        <w:t xml:space="preserve">, </w:t>
      </w:r>
      <w:r>
        <w:t xml:space="preserve">на виконання розпорядження голови </w:t>
      </w:r>
      <w:r w:rsidRPr="00205222">
        <w:t>обласної державної адміністрації «Про впровадження заходів з енергоефективності та енергозбереження в закл</w:t>
      </w:r>
      <w:r>
        <w:t>адах бюджетної сфери області» №</w:t>
      </w:r>
      <w:r w:rsidRPr="00205222">
        <w:t xml:space="preserve">333 </w:t>
      </w:r>
      <w:r w:rsidRPr="00205222">
        <w:rPr>
          <w:bCs/>
        </w:rPr>
        <w:t>від 23 червня</w:t>
      </w:r>
      <w:r w:rsidRPr="00205222">
        <w:t xml:space="preserve"> 2014року</w:t>
      </w:r>
      <w:r>
        <w:rPr>
          <w:bCs/>
        </w:rPr>
        <w:t>, за підсумками засідання колегії районної державної адміністрації  від 25.07.2014 року:</w:t>
      </w:r>
    </w:p>
    <w:p w:rsidR="008A5A61" w:rsidRPr="00405DD4" w:rsidRDefault="008A5A61" w:rsidP="008857EA">
      <w:pPr>
        <w:ind w:firstLine="720"/>
        <w:jc w:val="both"/>
      </w:pPr>
    </w:p>
    <w:p w:rsidR="008A5A61" w:rsidRPr="008857EA" w:rsidRDefault="008A5A61" w:rsidP="008857EA">
      <w:pPr>
        <w:ind w:firstLine="720"/>
        <w:jc w:val="both"/>
        <w:rPr>
          <w:bCs/>
        </w:rPr>
      </w:pPr>
      <w:r>
        <w:rPr>
          <w:bCs/>
        </w:rPr>
        <w:t xml:space="preserve">1. </w:t>
      </w:r>
      <w:r w:rsidRPr="00405DD4">
        <w:t xml:space="preserve">Структурним підрозділам </w:t>
      </w:r>
      <w:r>
        <w:t>райдерж</w:t>
      </w:r>
      <w:r w:rsidRPr="00D35857">
        <w:t>адміністрації – головним розпорядникам бюджетних к</w:t>
      </w:r>
      <w:r w:rsidRPr="00D67D32">
        <w:t>оштів</w:t>
      </w:r>
      <w:r>
        <w:t xml:space="preserve">, у підпорядкуванні яких перебувають бюджетні установи та заклади, що споживають природний газ для своїх потреб до 30 липня поточного року </w:t>
      </w:r>
      <w:r w:rsidRPr="00D67D32">
        <w:t xml:space="preserve">підготувати </w:t>
      </w:r>
      <w:r>
        <w:t xml:space="preserve">пропозиції до </w:t>
      </w:r>
      <w:r w:rsidRPr="00D67D32">
        <w:t>перелік</w:t>
      </w:r>
      <w:r>
        <w:t>у</w:t>
      </w:r>
      <w:r w:rsidRPr="00D67D32">
        <w:t xml:space="preserve"> бюджетних закладів </w:t>
      </w:r>
      <w:r>
        <w:t>району</w:t>
      </w:r>
      <w:r w:rsidRPr="00D67D32">
        <w:t xml:space="preserve">, опалювальні системи </w:t>
      </w:r>
      <w:r>
        <w:t>яких</w:t>
      </w:r>
      <w:r w:rsidRPr="00D67D32">
        <w:t xml:space="preserve"> мають бути переведені у 2014 – 2015 роках з природного газу на альтернативні види палива</w:t>
      </w:r>
      <w:r>
        <w:t xml:space="preserve"> та подати їх відділу</w:t>
      </w:r>
      <w:r w:rsidRPr="00D67D32">
        <w:t xml:space="preserve"> </w:t>
      </w:r>
      <w:r>
        <w:t xml:space="preserve">містобудування та  архітектури </w:t>
      </w:r>
      <w:r w:rsidRPr="00D67D32">
        <w:t xml:space="preserve"> </w:t>
      </w:r>
      <w:r>
        <w:t>рай</w:t>
      </w:r>
      <w:r w:rsidRPr="00D67D32">
        <w:t>держадміністрації</w:t>
      </w:r>
      <w:r>
        <w:t>.</w:t>
      </w:r>
    </w:p>
    <w:p w:rsidR="008A5A61" w:rsidRDefault="008A5A61" w:rsidP="008857EA">
      <w:pPr>
        <w:ind w:firstLine="720"/>
        <w:jc w:val="both"/>
      </w:pPr>
    </w:p>
    <w:p w:rsidR="008A5A61" w:rsidRDefault="008A5A61" w:rsidP="008857EA">
      <w:pPr>
        <w:ind w:firstLine="720"/>
        <w:jc w:val="both"/>
      </w:pPr>
      <w:r>
        <w:t>2</w:t>
      </w:r>
      <w:r w:rsidRPr="00991E4E">
        <w:t xml:space="preserve">. </w:t>
      </w:r>
      <w:r>
        <w:t xml:space="preserve">Закладам бюджетної сфери (відділу освіти, культури та туризму, КУ «Тульчинський районний центр первинної медико - санітарної допомоги») до складу яких входять установи, що споживають природний газ, напрацювати конкретні пропозиції щодо оптимального варіанту спрямування коштів та послідовності впровадження заходів з альтернативного теплопостачання. </w:t>
      </w:r>
    </w:p>
    <w:p w:rsidR="008A5A61" w:rsidRDefault="008A5A61" w:rsidP="008857EA">
      <w:pPr>
        <w:ind w:firstLine="720"/>
        <w:jc w:val="both"/>
        <w:rPr>
          <w:bCs/>
        </w:rPr>
      </w:pPr>
      <w:r>
        <w:t>Про результати проведеної роботи поінформувати відділ</w:t>
      </w:r>
      <w:r w:rsidRPr="00D67D32">
        <w:t xml:space="preserve"> </w:t>
      </w:r>
      <w:r>
        <w:t>містобудування та архітектури рай</w:t>
      </w:r>
      <w:r w:rsidRPr="00D67D32">
        <w:t>держадміністрації</w:t>
      </w:r>
      <w:r>
        <w:t xml:space="preserve"> до 30 липня поточного року для узагальнення та подальшого інформування голови районної державної адміністрації та </w:t>
      </w:r>
      <w:r w:rsidRPr="002628A9">
        <w:rPr>
          <w:bCs/>
        </w:rPr>
        <w:t>Департаменту житлово-комунального господарства, енергетики та інфраструктури</w:t>
      </w:r>
      <w:r>
        <w:rPr>
          <w:bCs/>
        </w:rPr>
        <w:t xml:space="preserve"> облдержадміністрації.</w:t>
      </w:r>
    </w:p>
    <w:p w:rsidR="008A5A61" w:rsidRDefault="008A5A61" w:rsidP="008857EA">
      <w:pPr>
        <w:ind w:firstLine="720"/>
        <w:jc w:val="both"/>
      </w:pPr>
      <w:r>
        <w:t>3. В</w:t>
      </w:r>
      <w:r w:rsidRPr="00EF112C">
        <w:t>ідділу містобудування та архітектури райдержадміністрації</w:t>
      </w:r>
      <w:r>
        <w:t xml:space="preserve"> (Руденко В.І.)</w:t>
      </w:r>
      <w:r w:rsidRPr="00EF112C">
        <w:t xml:space="preserve"> </w:t>
      </w:r>
      <w:r>
        <w:t>до 02.08.2014 року на підставі поданих  пропозицій</w:t>
      </w:r>
      <w:r w:rsidRPr="00FA6208">
        <w:t xml:space="preserve"> </w:t>
      </w:r>
      <w:r>
        <w:t>по переведенню на альтернативний вид</w:t>
      </w:r>
      <w:r w:rsidRPr="00D67D32">
        <w:t xml:space="preserve"> палива</w:t>
      </w:r>
      <w:r>
        <w:t xml:space="preserve">, розробити заходи, в яких визначити виконавця, конкретні обсяги і терміни виконання запланованих робіт. </w:t>
      </w:r>
    </w:p>
    <w:p w:rsidR="008A5A61" w:rsidRDefault="008A5A61" w:rsidP="008857EA">
      <w:pPr>
        <w:ind w:firstLine="720"/>
        <w:jc w:val="both"/>
      </w:pPr>
    </w:p>
    <w:p w:rsidR="008A5A61" w:rsidRDefault="008A5A61" w:rsidP="00AE5C62">
      <w:pPr>
        <w:ind w:firstLine="720"/>
        <w:jc w:val="both"/>
      </w:pPr>
      <w:r>
        <w:t>4</w:t>
      </w:r>
      <w:r w:rsidRPr="00991E4E">
        <w:t xml:space="preserve">. </w:t>
      </w:r>
      <w:r>
        <w:t>Структурним підрозділам райдержадміністрації – головним розпорядникам коштів районного бюджету, до складу яких входять бюджетні установи та заклади, які споживають природний газ для власних потреб</w:t>
      </w:r>
      <w:r w:rsidRPr="00D67D32">
        <w:t xml:space="preserve"> </w:t>
      </w:r>
      <w:r>
        <w:t>разом з ф</w:t>
      </w:r>
      <w:r w:rsidRPr="00D94FC4">
        <w:t>інансовим управлінням райдержадміністрації</w:t>
      </w:r>
      <w:r>
        <w:rPr>
          <w:color w:val="FF0000"/>
        </w:rPr>
        <w:t xml:space="preserve"> </w:t>
      </w:r>
      <w:r>
        <w:t xml:space="preserve">(Шевчук С.В), передбачати щорічно в проекті районного бюджету на наступний бюджетний рік і враховувати при складанні та затвердженні кошторисів установ та закладів спільної власності територіальних громад району видатки на впровадження енергоефективних заходів на рівні </w:t>
      </w:r>
      <w:r w:rsidRPr="006F0E8A">
        <w:t xml:space="preserve">не нижче 1% загального </w:t>
      </w:r>
      <w:r>
        <w:t>обсягу асигнувань відповідних галузей бюджетної сфери.</w:t>
      </w:r>
    </w:p>
    <w:p w:rsidR="008A5A61" w:rsidRDefault="008A5A61" w:rsidP="00074DAA">
      <w:pPr>
        <w:jc w:val="both"/>
      </w:pPr>
    </w:p>
    <w:p w:rsidR="008A5A61" w:rsidRPr="00060C7C" w:rsidRDefault="008A5A61" w:rsidP="008857EA">
      <w:pPr>
        <w:ind w:firstLine="720"/>
        <w:jc w:val="both"/>
      </w:pPr>
      <w:r>
        <w:t>5</w:t>
      </w:r>
      <w:r w:rsidRPr="00060C7C">
        <w:t>. Контроль за виконанням цього розпорядження залишаю за собою.</w:t>
      </w:r>
    </w:p>
    <w:p w:rsidR="008A5A61" w:rsidRDefault="008A5A61" w:rsidP="008857EA">
      <w:pPr>
        <w:ind w:firstLine="720"/>
        <w:jc w:val="both"/>
        <w:rPr>
          <w:color w:val="000000"/>
          <w:spacing w:val="11"/>
        </w:rPr>
      </w:pPr>
    </w:p>
    <w:p w:rsidR="008A5A61" w:rsidRDefault="008A5A61" w:rsidP="008857EA">
      <w:pPr>
        <w:rPr>
          <w:b/>
          <w:bCs/>
        </w:rPr>
      </w:pPr>
      <w:r>
        <w:rPr>
          <w:b/>
          <w:bCs/>
        </w:rPr>
        <w:t xml:space="preserve">Голова районної </w:t>
      </w:r>
    </w:p>
    <w:p w:rsidR="008A5A61" w:rsidRPr="00EC54D0" w:rsidRDefault="008A5A61" w:rsidP="00EC035D">
      <w:pPr>
        <w:rPr>
          <w:lang w:val="ru-RU"/>
        </w:rPr>
      </w:pPr>
      <w:r>
        <w:rPr>
          <w:b/>
          <w:bCs/>
        </w:rPr>
        <w:t xml:space="preserve">державної адміністрації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Галина Роспутна</w:t>
      </w:r>
    </w:p>
    <w:sectPr w:rsidR="008A5A61" w:rsidRPr="00EC54D0" w:rsidSect="00E127C0">
      <w:headerReference w:type="default" r:id="rId9"/>
      <w:pgSz w:w="11906" w:h="16838" w:code="9"/>
      <w:pgMar w:top="1134" w:right="991" w:bottom="1701" w:left="709" w:header="907" w:footer="709" w:gutter="0"/>
      <w:cols w:space="709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61" w:rsidRDefault="008A5A61">
      <w:r>
        <w:separator/>
      </w:r>
    </w:p>
  </w:endnote>
  <w:endnote w:type="continuationSeparator" w:id="0">
    <w:p w:rsidR="008A5A61" w:rsidRDefault="008A5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ingdings 3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61" w:rsidRDefault="008A5A61">
      <w:r>
        <w:separator/>
      </w:r>
    </w:p>
  </w:footnote>
  <w:footnote w:type="continuationSeparator" w:id="0">
    <w:p w:rsidR="008A5A61" w:rsidRDefault="008A5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A61" w:rsidRDefault="008A5A6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5A61" w:rsidRDefault="008A5A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73E"/>
    <w:multiLevelType w:val="multilevel"/>
    <w:tmpl w:val="2B969D8A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0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275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  <w:rPr>
        <w:rFonts w:ascii="Times New Roman" w:hAnsi="Times New Roman" w:cs="Times New Roman" w:hint="default"/>
      </w:rPr>
    </w:lvl>
  </w:abstractNum>
  <w:abstractNum w:abstractNumId="1">
    <w:nsid w:val="384905A6"/>
    <w:multiLevelType w:val="multilevel"/>
    <w:tmpl w:val="E0246854"/>
    <w:lvl w:ilvl="0">
      <w:start w:val="1"/>
      <w:numFmt w:val="bullet"/>
      <w:lvlText w:val="-"/>
      <w:lvlJc w:val="left"/>
      <w:pPr>
        <w:tabs>
          <w:tab w:val="num" w:pos="2565"/>
        </w:tabs>
        <w:ind w:left="2565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F8A280B"/>
    <w:multiLevelType w:val="multilevel"/>
    <w:tmpl w:val="778EDCFC"/>
    <w:lvl w:ilvl="0">
      <w:start w:val="1"/>
      <w:numFmt w:val="bullet"/>
      <w:lvlText w:val="-"/>
      <w:lvlJc w:val="left"/>
      <w:pPr>
        <w:tabs>
          <w:tab w:val="num" w:pos="1785"/>
        </w:tabs>
        <w:ind w:left="1785" w:hanging="100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5B796CFE"/>
    <w:multiLevelType w:val="hybridMultilevel"/>
    <w:tmpl w:val="D9788BF6"/>
    <w:lvl w:ilvl="0" w:tplc="E774ECE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73A729F8"/>
    <w:multiLevelType w:val="hybridMultilevel"/>
    <w:tmpl w:val="BC42BC10"/>
    <w:lvl w:ilvl="0" w:tplc="1B7A70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6E04915"/>
    <w:multiLevelType w:val="multilevel"/>
    <w:tmpl w:val="08BEA0B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74B"/>
    <w:rsid w:val="00047A98"/>
    <w:rsid w:val="00060C7C"/>
    <w:rsid w:val="00074DAA"/>
    <w:rsid w:val="000B1C52"/>
    <w:rsid w:val="0012541F"/>
    <w:rsid w:val="00190FFC"/>
    <w:rsid w:val="001B70F5"/>
    <w:rsid w:val="001C0E7D"/>
    <w:rsid w:val="001C666D"/>
    <w:rsid w:val="00205222"/>
    <w:rsid w:val="002610E8"/>
    <w:rsid w:val="002628A9"/>
    <w:rsid w:val="00293E71"/>
    <w:rsid w:val="00296A00"/>
    <w:rsid w:val="0030337B"/>
    <w:rsid w:val="003119CF"/>
    <w:rsid w:val="00335A3C"/>
    <w:rsid w:val="00344842"/>
    <w:rsid w:val="00345623"/>
    <w:rsid w:val="003B232D"/>
    <w:rsid w:val="0040564D"/>
    <w:rsid w:val="00405DD4"/>
    <w:rsid w:val="00413B32"/>
    <w:rsid w:val="004305B3"/>
    <w:rsid w:val="00482F32"/>
    <w:rsid w:val="004D574B"/>
    <w:rsid w:val="004E7DB9"/>
    <w:rsid w:val="005107C6"/>
    <w:rsid w:val="00574EA3"/>
    <w:rsid w:val="005F1E39"/>
    <w:rsid w:val="0062704D"/>
    <w:rsid w:val="00663715"/>
    <w:rsid w:val="0066425A"/>
    <w:rsid w:val="006F0E8A"/>
    <w:rsid w:val="00706B09"/>
    <w:rsid w:val="00715CA2"/>
    <w:rsid w:val="00736430"/>
    <w:rsid w:val="007A103D"/>
    <w:rsid w:val="00822012"/>
    <w:rsid w:val="008857EA"/>
    <w:rsid w:val="008860D0"/>
    <w:rsid w:val="008A5A61"/>
    <w:rsid w:val="008E737C"/>
    <w:rsid w:val="008F380C"/>
    <w:rsid w:val="00991E4E"/>
    <w:rsid w:val="009C2945"/>
    <w:rsid w:val="00A25177"/>
    <w:rsid w:val="00A44ABE"/>
    <w:rsid w:val="00A76696"/>
    <w:rsid w:val="00A82086"/>
    <w:rsid w:val="00AB711F"/>
    <w:rsid w:val="00AE5C62"/>
    <w:rsid w:val="00B107DD"/>
    <w:rsid w:val="00B648A2"/>
    <w:rsid w:val="00B84183"/>
    <w:rsid w:val="00B85D34"/>
    <w:rsid w:val="00BA39DE"/>
    <w:rsid w:val="00BD0918"/>
    <w:rsid w:val="00BE127C"/>
    <w:rsid w:val="00C17597"/>
    <w:rsid w:val="00C25B47"/>
    <w:rsid w:val="00C3069B"/>
    <w:rsid w:val="00C910BB"/>
    <w:rsid w:val="00CE41C3"/>
    <w:rsid w:val="00D35857"/>
    <w:rsid w:val="00D50D8C"/>
    <w:rsid w:val="00D64246"/>
    <w:rsid w:val="00D67D32"/>
    <w:rsid w:val="00D84542"/>
    <w:rsid w:val="00D93F6A"/>
    <w:rsid w:val="00D94FC4"/>
    <w:rsid w:val="00DD642D"/>
    <w:rsid w:val="00E127C0"/>
    <w:rsid w:val="00EC035D"/>
    <w:rsid w:val="00EC4D75"/>
    <w:rsid w:val="00EC54D0"/>
    <w:rsid w:val="00ED6EF9"/>
    <w:rsid w:val="00EF112C"/>
    <w:rsid w:val="00F135EB"/>
    <w:rsid w:val="00F1657A"/>
    <w:rsid w:val="00F611AF"/>
    <w:rsid w:val="00F91627"/>
    <w:rsid w:val="00FA6208"/>
    <w:rsid w:val="00FB07EF"/>
    <w:rsid w:val="00FB0F4C"/>
    <w:rsid w:val="00FE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42"/>
    <w:pPr>
      <w:autoSpaceDE w:val="0"/>
      <w:autoSpaceDN w:val="0"/>
    </w:pPr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4542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454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D8454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4542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4542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4542"/>
    <w:rPr>
      <w:rFonts w:ascii="Cambria" w:hAnsi="Cambria" w:cs="Times New Roman"/>
      <w:b/>
      <w:bCs/>
      <w:sz w:val="26"/>
      <w:szCs w:val="26"/>
      <w:lang w:val="uk-UA"/>
    </w:rPr>
  </w:style>
  <w:style w:type="paragraph" w:styleId="Index1">
    <w:name w:val="index 1"/>
    <w:basedOn w:val="Normal"/>
    <w:next w:val="Normal"/>
    <w:autoRedefine/>
    <w:uiPriority w:val="99"/>
    <w:semiHidden/>
    <w:rsid w:val="00D84542"/>
    <w:pPr>
      <w:ind w:left="260" w:hanging="260"/>
    </w:pPr>
  </w:style>
  <w:style w:type="paragraph" w:styleId="IndexHeading">
    <w:name w:val="index heading"/>
    <w:basedOn w:val="Normal"/>
    <w:next w:val="Index1"/>
    <w:uiPriority w:val="99"/>
    <w:semiHidden/>
    <w:rsid w:val="00D84542"/>
  </w:style>
  <w:style w:type="paragraph" w:styleId="BlockText">
    <w:name w:val="Block Text"/>
    <w:basedOn w:val="Normal"/>
    <w:uiPriority w:val="99"/>
    <w:rsid w:val="00D84542"/>
    <w:pPr>
      <w:ind w:left="142" w:right="5102"/>
      <w:jc w:val="both"/>
    </w:pPr>
  </w:style>
  <w:style w:type="paragraph" w:styleId="Header">
    <w:name w:val="header"/>
    <w:basedOn w:val="Normal"/>
    <w:link w:val="HeaderChar"/>
    <w:uiPriority w:val="99"/>
    <w:rsid w:val="00D845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rsid w:val="00D84542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D84542"/>
    <w:pPr>
      <w:ind w:firstLine="78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4542"/>
    <w:rPr>
      <w:rFonts w:cs="Times New Roman"/>
      <w:sz w:val="28"/>
      <w:szCs w:val="28"/>
      <w:lang w:val="uk-UA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"/>
    <w:basedOn w:val="Normal"/>
    <w:uiPriority w:val="99"/>
    <w:rsid w:val="002610E8"/>
    <w:pPr>
      <w:autoSpaceDE/>
      <w:autoSpaceDN/>
    </w:pPr>
    <w:rPr>
      <w:rFonts w:ascii="Verdana" w:hAnsi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8857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7EA"/>
    <w:rPr>
      <w:rFonts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2</Pages>
  <Words>507</Words>
  <Characters>2891</Characters>
  <Application>Microsoft Office Outlook</Application>
  <DocSecurity>0</DocSecurity>
  <Lines>0</Lines>
  <Paragraphs>0</Paragraphs>
  <ScaleCrop>false</ScaleCrop>
  <Company>RDA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15</cp:revision>
  <cp:lastPrinted>2014-07-28T11:47:00Z</cp:lastPrinted>
  <dcterms:created xsi:type="dcterms:W3CDTF">2014-06-11T06:19:00Z</dcterms:created>
  <dcterms:modified xsi:type="dcterms:W3CDTF">2014-08-04T06:21:00Z</dcterms:modified>
</cp:coreProperties>
</file>